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9BA" w:rsidRPr="00CF7F0F" w:rsidRDefault="009019BA">
      <w:pPr>
        <w:pStyle w:val="Body1"/>
        <w:spacing w:before="120"/>
        <w:jc w:val="center"/>
        <w:rPr>
          <w:rFonts w:asciiTheme="minorHAnsi" w:hAnsiTheme="minorHAnsi"/>
          <w:b/>
          <w:color w:val="auto"/>
          <w:sz w:val="22"/>
          <w:szCs w:val="22"/>
        </w:rPr>
      </w:pPr>
      <w:r w:rsidRPr="00CF7F0F">
        <w:rPr>
          <w:rFonts w:asciiTheme="minorHAnsi" w:hAnsiTheme="minorHAnsi"/>
          <w:b/>
          <w:color w:val="auto"/>
          <w:sz w:val="22"/>
          <w:szCs w:val="22"/>
        </w:rPr>
        <w:t>Convention de Collaboration Scientifique et Culturelle</w:t>
      </w:r>
    </w:p>
    <w:p w:rsidR="009019BA" w:rsidRPr="00CF7F0F" w:rsidRDefault="009019BA">
      <w:pPr>
        <w:pStyle w:val="Body1"/>
        <w:spacing w:before="120"/>
        <w:jc w:val="center"/>
        <w:rPr>
          <w:rFonts w:asciiTheme="minorHAnsi" w:hAnsiTheme="minorHAnsi"/>
          <w:color w:val="auto"/>
          <w:sz w:val="22"/>
          <w:szCs w:val="22"/>
        </w:rPr>
      </w:pPr>
      <w:r w:rsidRPr="00CF7F0F">
        <w:rPr>
          <w:rFonts w:asciiTheme="minorHAnsi" w:hAnsiTheme="minorHAnsi"/>
          <w:color w:val="auto"/>
          <w:sz w:val="22"/>
          <w:szCs w:val="22"/>
        </w:rPr>
        <w:t xml:space="preserve">Référence CNRS : </w:t>
      </w:r>
    </w:p>
    <w:p w:rsidR="009019BA" w:rsidRPr="00CF7F0F" w:rsidRDefault="009019BA">
      <w:pPr>
        <w:pStyle w:val="Body1"/>
        <w:spacing w:before="120"/>
        <w:rPr>
          <w:rFonts w:asciiTheme="minorHAnsi" w:hAnsiTheme="minorHAnsi"/>
          <w:b/>
          <w:color w:val="auto"/>
          <w:sz w:val="22"/>
          <w:szCs w:val="22"/>
        </w:rPr>
      </w:pPr>
      <w:r w:rsidRPr="00CF7F0F">
        <w:rPr>
          <w:rFonts w:asciiTheme="minorHAnsi" w:hAnsiTheme="minorHAnsi"/>
          <w:b/>
          <w:color w:val="auto"/>
          <w:sz w:val="22"/>
          <w:szCs w:val="22"/>
        </w:rPr>
        <w:t>Entre</w:t>
      </w:r>
    </w:p>
    <w:p w:rsidR="009019BA" w:rsidRPr="00CF7F0F" w:rsidRDefault="009B6C9D">
      <w:pPr>
        <w:pStyle w:val="Body1"/>
        <w:spacing w:before="120"/>
        <w:jc w:val="both"/>
        <w:rPr>
          <w:rFonts w:asciiTheme="minorHAnsi" w:hAnsiTheme="minorHAnsi"/>
          <w:iCs/>
          <w:color w:val="auto"/>
          <w:sz w:val="22"/>
          <w:szCs w:val="22"/>
          <w:highlight w:val="yellow"/>
        </w:rPr>
      </w:pPr>
      <w:r w:rsidRPr="00CF7F0F">
        <w:rPr>
          <w:rFonts w:asciiTheme="minorHAnsi" w:hAnsiTheme="minorHAnsi"/>
          <w:b/>
          <w:color w:val="auto"/>
          <w:sz w:val="22"/>
          <w:szCs w:val="22"/>
          <w:highlight w:val="yellow"/>
        </w:rPr>
        <w:t>« Type de collectivité territoriale » « nom de la collectivité territoriale »</w:t>
      </w:r>
      <w:r w:rsidR="009019BA" w:rsidRPr="00CF7F0F">
        <w:rPr>
          <w:rFonts w:asciiTheme="minorHAnsi" w:hAnsiTheme="minorHAnsi"/>
          <w:color w:val="auto"/>
          <w:sz w:val="22"/>
          <w:szCs w:val="22"/>
          <w:highlight w:val="yellow"/>
        </w:rPr>
        <w:t xml:space="preserve">, n° SIRET </w:t>
      </w:r>
      <w:r w:rsidRPr="00CF7F0F">
        <w:rPr>
          <w:rFonts w:asciiTheme="minorHAnsi" w:hAnsiTheme="minorHAnsi"/>
          <w:color w:val="auto"/>
          <w:sz w:val="22"/>
          <w:szCs w:val="22"/>
          <w:highlight w:val="yellow"/>
        </w:rPr>
        <w:t>« </w:t>
      </w:r>
      <w:r w:rsidRPr="00CF7F0F">
        <w:rPr>
          <w:rFonts w:asciiTheme="minorHAnsi" w:hAnsiTheme="minorHAnsi"/>
          <w:b/>
          <w:color w:val="auto"/>
          <w:sz w:val="22"/>
          <w:szCs w:val="22"/>
          <w:highlight w:val="yellow"/>
        </w:rPr>
        <w:t>XXX XXX XXX XXXXX</w:t>
      </w:r>
      <w:r w:rsidRPr="00CF7F0F">
        <w:rPr>
          <w:rFonts w:asciiTheme="minorHAnsi" w:hAnsiTheme="minorHAnsi"/>
          <w:color w:val="auto"/>
          <w:sz w:val="22"/>
          <w:szCs w:val="22"/>
          <w:highlight w:val="yellow"/>
        </w:rPr>
        <w:t xml:space="preserve"> », </w:t>
      </w:r>
      <w:r w:rsidR="009019BA" w:rsidRPr="00CF7F0F">
        <w:rPr>
          <w:rFonts w:asciiTheme="minorHAnsi" w:hAnsiTheme="minorHAnsi"/>
          <w:color w:val="auto"/>
          <w:sz w:val="22"/>
          <w:szCs w:val="22"/>
          <w:highlight w:val="yellow"/>
        </w:rPr>
        <w:t xml:space="preserve">code APE </w:t>
      </w:r>
      <w:r w:rsidRPr="00CF7F0F">
        <w:rPr>
          <w:rFonts w:asciiTheme="minorHAnsi" w:hAnsiTheme="minorHAnsi"/>
          <w:color w:val="auto"/>
          <w:sz w:val="22"/>
          <w:szCs w:val="22"/>
          <w:highlight w:val="yellow"/>
        </w:rPr>
        <w:t>« XXXX »</w:t>
      </w:r>
      <w:r w:rsidR="009019BA" w:rsidRPr="00CF7F0F">
        <w:rPr>
          <w:rFonts w:asciiTheme="minorHAnsi" w:hAnsiTheme="minorHAnsi"/>
          <w:i/>
          <w:iCs/>
          <w:color w:val="auto"/>
          <w:sz w:val="22"/>
          <w:szCs w:val="22"/>
          <w:highlight w:val="yellow"/>
        </w:rPr>
        <w:t xml:space="preserve">, </w:t>
      </w:r>
      <w:r w:rsidR="009019BA" w:rsidRPr="00CF7F0F">
        <w:rPr>
          <w:rFonts w:asciiTheme="minorHAnsi" w:hAnsiTheme="minorHAnsi"/>
          <w:iCs/>
          <w:color w:val="auto"/>
          <w:sz w:val="22"/>
          <w:szCs w:val="22"/>
          <w:highlight w:val="yellow"/>
        </w:rPr>
        <w:t xml:space="preserve">dont le siège est à </w:t>
      </w:r>
      <w:r w:rsidRPr="00CF7F0F">
        <w:rPr>
          <w:rFonts w:asciiTheme="minorHAnsi" w:hAnsiTheme="minorHAnsi"/>
          <w:iCs/>
          <w:color w:val="auto"/>
          <w:sz w:val="22"/>
          <w:szCs w:val="22"/>
          <w:highlight w:val="yellow"/>
        </w:rPr>
        <w:t>« </w:t>
      </w:r>
      <w:r w:rsidRPr="00CF7F0F">
        <w:rPr>
          <w:rFonts w:asciiTheme="minorHAnsi" w:hAnsiTheme="minorHAnsi"/>
          <w:b/>
          <w:iCs/>
          <w:color w:val="auto"/>
          <w:sz w:val="22"/>
          <w:szCs w:val="22"/>
          <w:highlight w:val="yellow"/>
        </w:rPr>
        <w:t>Adresse postale complète</w:t>
      </w:r>
      <w:r w:rsidRPr="00CF7F0F">
        <w:rPr>
          <w:rFonts w:asciiTheme="minorHAnsi" w:hAnsiTheme="minorHAnsi"/>
          <w:iCs/>
          <w:color w:val="auto"/>
          <w:sz w:val="22"/>
          <w:szCs w:val="22"/>
          <w:highlight w:val="yellow"/>
        </w:rPr>
        <w:t> »</w:t>
      </w:r>
      <w:r w:rsidR="009019BA" w:rsidRPr="00CF7F0F">
        <w:rPr>
          <w:rFonts w:asciiTheme="minorHAnsi" w:hAnsiTheme="minorHAnsi"/>
          <w:iCs/>
          <w:color w:val="auto"/>
          <w:sz w:val="22"/>
          <w:szCs w:val="22"/>
          <w:highlight w:val="yellow"/>
        </w:rPr>
        <w:t xml:space="preserve">, représentée par </w:t>
      </w:r>
      <w:r w:rsidRPr="00CF7F0F">
        <w:rPr>
          <w:rFonts w:asciiTheme="minorHAnsi" w:hAnsiTheme="minorHAnsi"/>
          <w:iCs/>
          <w:color w:val="auto"/>
          <w:sz w:val="22"/>
          <w:szCs w:val="22"/>
          <w:highlight w:val="yellow"/>
        </w:rPr>
        <w:t>« </w:t>
      </w:r>
      <w:r w:rsidRPr="00CF7F0F">
        <w:rPr>
          <w:rFonts w:asciiTheme="minorHAnsi" w:hAnsiTheme="minorHAnsi"/>
          <w:b/>
          <w:iCs/>
          <w:color w:val="auto"/>
          <w:sz w:val="22"/>
          <w:szCs w:val="22"/>
          <w:highlight w:val="yellow"/>
        </w:rPr>
        <w:t>Fontion Prénom NOM</w:t>
      </w:r>
      <w:r w:rsidRPr="00CF7F0F">
        <w:rPr>
          <w:rFonts w:asciiTheme="minorHAnsi" w:hAnsiTheme="minorHAnsi"/>
          <w:iCs/>
          <w:color w:val="auto"/>
          <w:sz w:val="22"/>
          <w:szCs w:val="22"/>
          <w:highlight w:val="yellow"/>
        </w:rPr>
        <w:t> »</w:t>
      </w:r>
      <w:r w:rsidR="00D92A3A">
        <w:rPr>
          <w:rFonts w:asciiTheme="minorHAnsi" w:hAnsiTheme="minorHAnsi"/>
          <w:iCs/>
          <w:color w:val="auto"/>
          <w:sz w:val="22"/>
          <w:szCs w:val="22"/>
          <w:highlight w:val="yellow"/>
        </w:rPr>
        <w:t>, agissant pour le compte de «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009019BA" w:rsidRPr="00CF7F0F">
        <w:rPr>
          <w:rFonts w:asciiTheme="minorHAnsi" w:hAnsiTheme="minorHAnsi"/>
          <w:iCs/>
          <w:color w:val="auto"/>
          <w:sz w:val="22"/>
          <w:szCs w:val="22"/>
          <w:highlight w:val="yellow"/>
        </w:rPr>
        <w:t>.</w:t>
      </w:r>
    </w:p>
    <w:p w:rsidR="009019BA" w:rsidRPr="00CF7F0F" w:rsidRDefault="00553BBE" w:rsidP="00553BBE">
      <w:pPr>
        <w:pStyle w:val="Body1"/>
        <w:spacing w:before="120"/>
        <w:jc w:val="right"/>
        <w:rPr>
          <w:rFonts w:asciiTheme="minorHAnsi" w:hAnsiTheme="minorHAnsi"/>
          <w:color w:val="auto"/>
          <w:sz w:val="22"/>
          <w:szCs w:val="22"/>
        </w:rPr>
      </w:pPr>
      <w:r w:rsidRPr="00CF7F0F">
        <w:rPr>
          <w:rFonts w:asciiTheme="minorHAnsi" w:hAnsiTheme="minorHAnsi"/>
          <w:color w:val="auto"/>
          <w:sz w:val="22"/>
          <w:szCs w:val="22"/>
        </w:rPr>
        <w:t>Ci-après désigné par le</w:t>
      </w:r>
      <w:r w:rsidR="009019BA" w:rsidRPr="00CF7F0F">
        <w:rPr>
          <w:rFonts w:asciiTheme="minorHAnsi" w:hAnsiTheme="minorHAnsi"/>
          <w:color w:val="auto"/>
          <w:sz w:val="22"/>
          <w:szCs w:val="22"/>
          <w:highlight w:val="yellow"/>
        </w:rPr>
        <w:t xml:space="preserve">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p>
    <w:p w:rsidR="009019BA" w:rsidRPr="00CF7F0F" w:rsidRDefault="009019BA">
      <w:pPr>
        <w:pStyle w:val="Body1"/>
        <w:spacing w:before="120"/>
        <w:jc w:val="both"/>
        <w:rPr>
          <w:rFonts w:asciiTheme="minorHAnsi" w:hAnsiTheme="minorHAnsi"/>
          <w:b/>
          <w:color w:val="auto"/>
          <w:sz w:val="22"/>
          <w:szCs w:val="22"/>
        </w:rPr>
      </w:pPr>
      <w:r w:rsidRPr="00CF7F0F">
        <w:rPr>
          <w:rFonts w:asciiTheme="minorHAnsi" w:hAnsiTheme="minorHAnsi"/>
          <w:b/>
          <w:color w:val="auto"/>
          <w:sz w:val="22"/>
          <w:szCs w:val="22"/>
        </w:rPr>
        <w:t>ET</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b/>
          <w:color w:val="auto"/>
          <w:sz w:val="22"/>
          <w:szCs w:val="22"/>
        </w:rPr>
        <w:t>Le Centre National de la Recherche Scientifique</w:t>
      </w:r>
      <w:r w:rsidRPr="00CF7F0F">
        <w:rPr>
          <w:rFonts w:asciiTheme="minorHAnsi" w:hAnsiTheme="minorHAnsi"/>
          <w:color w:val="auto"/>
          <w:sz w:val="22"/>
          <w:szCs w:val="22"/>
        </w:rPr>
        <w:t xml:space="preserve">, Etablissement Public à caractère Scientifique et Technologique, n° SIREN 180 089 013, code APE 7219Z, dont le siège est sis 3 rue Michel-Ange, 75796 PARIS cedex 16, représenté par son Président, M. Alain FUCHS, lequel a délégué pour la présente convention sa signature à M. </w:t>
      </w:r>
      <w:r w:rsidR="003B7F76" w:rsidRPr="00F06CD1">
        <w:rPr>
          <w:rFonts w:asciiTheme="minorHAnsi" w:hAnsiTheme="minorHAnsi"/>
          <w:b/>
          <w:color w:val="auto"/>
          <w:sz w:val="22"/>
          <w:szCs w:val="22"/>
        </w:rPr>
        <w:t>Christophe GIRAUD</w:t>
      </w:r>
      <w:r w:rsidRPr="00CF7F0F">
        <w:rPr>
          <w:rFonts w:asciiTheme="minorHAnsi" w:hAnsiTheme="minorHAnsi"/>
          <w:color w:val="auto"/>
          <w:sz w:val="22"/>
          <w:szCs w:val="22"/>
        </w:rPr>
        <w:t>, Délégué régional pour la circonscription Midi-Pyrénées, 16 avenue Edouard Belin, BP 24367, 31055 TOULOUSE cedex 4</w:t>
      </w:r>
    </w:p>
    <w:p w:rsidR="009019BA" w:rsidRPr="00CF7F0F" w:rsidRDefault="009019BA" w:rsidP="00553BBE">
      <w:pPr>
        <w:pStyle w:val="Body1"/>
        <w:spacing w:before="120"/>
        <w:jc w:val="right"/>
        <w:rPr>
          <w:rFonts w:asciiTheme="minorHAnsi" w:hAnsiTheme="minorHAnsi"/>
          <w:color w:val="auto"/>
          <w:sz w:val="22"/>
          <w:szCs w:val="22"/>
        </w:rPr>
      </w:pPr>
      <w:r w:rsidRPr="00CF7F0F">
        <w:rPr>
          <w:rFonts w:asciiTheme="minorHAnsi" w:hAnsiTheme="minorHAnsi"/>
          <w:color w:val="auto"/>
          <w:sz w:val="22"/>
          <w:szCs w:val="22"/>
        </w:rPr>
        <w:t>Ci-après désigné par le « </w:t>
      </w:r>
      <w:r w:rsidRPr="00CF7F0F">
        <w:rPr>
          <w:rFonts w:asciiTheme="minorHAnsi" w:hAnsiTheme="minorHAnsi"/>
          <w:b/>
          <w:color w:val="auto"/>
          <w:sz w:val="22"/>
          <w:szCs w:val="22"/>
        </w:rPr>
        <w:t>CNRS</w:t>
      </w:r>
      <w:r w:rsidRPr="00CF7F0F">
        <w:rPr>
          <w:rFonts w:asciiTheme="minorHAnsi" w:hAnsiTheme="minorHAnsi"/>
          <w:color w:val="auto"/>
          <w:sz w:val="22"/>
          <w:szCs w:val="22"/>
        </w:rPr>
        <w:t> »</w:t>
      </w:r>
    </w:p>
    <w:p w:rsidR="009019BA" w:rsidRPr="00CF7F0F" w:rsidRDefault="009019BA">
      <w:pPr>
        <w:pStyle w:val="Body1"/>
        <w:spacing w:before="120"/>
        <w:jc w:val="both"/>
        <w:rPr>
          <w:rFonts w:asciiTheme="minorHAnsi" w:hAnsiTheme="minorHAnsi"/>
          <w:b/>
          <w:color w:val="auto"/>
          <w:sz w:val="22"/>
          <w:szCs w:val="22"/>
        </w:rPr>
      </w:pPr>
      <w:r w:rsidRPr="00CF7F0F">
        <w:rPr>
          <w:rFonts w:asciiTheme="minorHAnsi" w:hAnsiTheme="minorHAnsi"/>
          <w:b/>
          <w:color w:val="auto"/>
          <w:sz w:val="22"/>
          <w:szCs w:val="22"/>
        </w:rPr>
        <w:t>ET</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b/>
          <w:color w:val="auto"/>
          <w:sz w:val="22"/>
          <w:szCs w:val="22"/>
        </w:rPr>
        <w:t xml:space="preserve">L’Université Toulouse </w:t>
      </w:r>
      <w:r w:rsidR="008C49E5" w:rsidRPr="00CF7F0F">
        <w:rPr>
          <w:rFonts w:asciiTheme="minorHAnsi" w:hAnsiTheme="minorHAnsi"/>
          <w:b/>
          <w:color w:val="auto"/>
          <w:sz w:val="22"/>
          <w:szCs w:val="22"/>
        </w:rPr>
        <w:t>Jean JAURES</w:t>
      </w:r>
      <w:r w:rsidRPr="00CF7F0F">
        <w:rPr>
          <w:rFonts w:asciiTheme="minorHAnsi" w:hAnsiTheme="minorHAnsi"/>
          <w:color w:val="auto"/>
          <w:sz w:val="22"/>
          <w:szCs w:val="22"/>
        </w:rPr>
        <w:t xml:space="preserve">, Etablissement public à caractère scientifique, culturel et professionnel, dont le siège est sis 5, allées Antonio Machado, 31058 TOULOUSE cedex 9, n° SIREN 193 113 834, code APE 803Z, représenté par son Président, M. </w:t>
      </w:r>
      <w:r w:rsidR="00F06CD1" w:rsidRPr="00F06CD1">
        <w:rPr>
          <w:rFonts w:asciiTheme="minorHAnsi" w:hAnsiTheme="minorHAnsi"/>
          <w:b/>
          <w:color w:val="auto"/>
          <w:sz w:val="22"/>
          <w:szCs w:val="22"/>
        </w:rPr>
        <w:t>Daniel LACROIX</w:t>
      </w:r>
      <w:r w:rsidRPr="00CF7F0F">
        <w:rPr>
          <w:rFonts w:asciiTheme="minorHAnsi" w:hAnsiTheme="minorHAnsi"/>
          <w:color w:val="auto"/>
          <w:sz w:val="22"/>
          <w:szCs w:val="22"/>
        </w:rPr>
        <w:t>,</w:t>
      </w:r>
    </w:p>
    <w:p w:rsidR="009019BA" w:rsidRPr="00CF7F0F" w:rsidRDefault="009019BA" w:rsidP="00553BBE">
      <w:pPr>
        <w:pStyle w:val="Body1"/>
        <w:spacing w:before="120"/>
        <w:jc w:val="right"/>
        <w:rPr>
          <w:rFonts w:asciiTheme="minorHAnsi" w:hAnsiTheme="minorHAnsi"/>
          <w:color w:val="auto"/>
          <w:sz w:val="22"/>
          <w:szCs w:val="22"/>
        </w:rPr>
      </w:pPr>
      <w:r w:rsidRPr="00CF7F0F">
        <w:rPr>
          <w:rFonts w:asciiTheme="minorHAnsi" w:hAnsiTheme="minorHAnsi"/>
          <w:color w:val="auto"/>
          <w:sz w:val="22"/>
          <w:szCs w:val="22"/>
        </w:rPr>
        <w:t>Ci-après désignée par l’« </w:t>
      </w:r>
      <w:r w:rsidRPr="00CF7F0F">
        <w:rPr>
          <w:rFonts w:asciiTheme="minorHAnsi" w:hAnsiTheme="minorHAnsi"/>
          <w:b/>
          <w:color w:val="auto"/>
          <w:sz w:val="22"/>
          <w:szCs w:val="22"/>
        </w:rPr>
        <w:t>UT</w:t>
      </w:r>
      <w:r w:rsidR="008C49E5" w:rsidRPr="00CF7F0F">
        <w:rPr>
          <w:rFonts w:asciiTheme="minorHAnsi" w:hAnsiTheme="minorHAnsi"/>
          <w:b/>
          <w:color w:val="auto"/>
          <w:sz w:val="22"/>
          <w:szCs w:val="22"/>
        </w:rPr>
        <w:t>2J</w:t>
      </w:r>
      <w:r w:rsidRPr="00CF7F0F">
        <w:rPr>
          <w:rFonts w:asciiTheme="minorHAnsi" w:hAnsiTheme="minorHAnsi"/>
          <w:color w:val="auto"/>
          <w:sz w:val="22"/>
          <w:szCs w:val="22"/>
        </w:rPr>
        <w:t> »</w:t>
      </w:r>
    </w:p>
    <w:p w:rsidR="009019BA" w:rsidRPr="00CF7F0F" w:rsidRDefault="009019BA">
      <w:pPr>
        <w:pStyle w:val="Body1"/>
        <w:spacing w:before="120"/>
        <w:jc w:val="both"/>
        <w:rPr>
          <w:rFonts w:asciiTheme="minorHAnsi" w:hAnsiTheme="minorHAnsi"/>
          <w:b/>
          <w:color w:val="auto"/>
          <w:sz w:val="22"/>
          <w:szCs w:val="22"/>
        </w:rPr>
      </w:pPr>
      <w:r w:rsidRPr="00CF7F0F">
        <w:rPr>
          <w:rFonts w:asciiTheme="minorHAnsi" w:hAnsiTheme="minorHAnsi"/>
          <w:b/>
          <w:color w:val="auto"/>
          <w:sz w:val="22"/>
          <w:szCs w:val="22"/>
        </w:rPr>
        <w:t>ET</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Le </w:t>
      </w:r>
      <w:r w:rsidRPr="00CF7F0F">
        <w:rPr>
          <w:rFonts w:asciiTheme="minorHAnsi" w:hAnsiTheme="minorHAnsi"/>
          <w:b/>
          <w:color w:val="auto"/>
          <w:sz w:val="22"/>
          <w:szCs w:val="22"/>
        </w:rPr>
        <w:t>CNRS</w:t>
      </w:r>
      <w:r w:rsidRPr="00CF7F0F">
        <w:rPr>
          <w:rFonts w:asciiTheme="minorHAnsi" w:hAnsiTheme="minorHAnsi"/>
          <w:color w:val="auto"/>
          <w:sz w:val="22"/>
          <w:szCs w:val="22"/>
        </w:rPr>
        <w:t xml:space="preserve"> et l’</w:t>
      </w:r>
      <w:r w:rsidRPr="00CF7F0F">
        <w:rPr>
          <w:rFonts w:asciiTheme="minorHAnsi" w:hAnsiTheme="minorHAnsi"/>
          <w:b/>
          <w:color w:val="auto"/>
          <w:sz w:val="22"/>
          <w:szCs w:val="22"/>
        </w:rPr>
        <w:t>UT</w:t>
      </w:r>
      <w:r w:rsidR="008C49E5" w:rsidRPr="00CF7F0F">
        <w:rPr>
          <w:rFonts w:asciiTheme="minorHAnsi" w:hAnsiTheme="minorHAnsi"/>
          <w:b/>
          <w:color w:val="auto"/>
          <w:sz w:val="22"/>
          <w:szCs w:val="22"/>
        </w:rPr>
        <w:t>2J</w:t>
      </w:r>
      <w:r w:rsidRPr="00CF7F0F">
        <w:rPr>
          <w:rFonts w:asciiTheme="minorHAnsi" w:hAnsiTheme="minorHAnsi"/>
          <w:color w:val="auto"/>
          <w:sz w:val="22"/>
          <w:szCs w:val="22"/>
        </w:rPr>
        <w:t xml:space="preserve"> (ci-après les « ETABLISSEMENTS ») agissant en leur nom propre et conjointement au nom et pour</w:t>
      </w:r>
      <w:r w:rsidR="008C49E5" w:rsidRPr="00CF7F0F">
        <w:rPr>
          <w:rFonts w:asciiTheme="minorHAnsi" w:hAnsiTheme="minorHAnsi"/>
          <w:color w:val="auto"/>
          <w:sz w:val="22"/>
          <w:szCs w:val="22"/>
        </w:rPr>
        <w:t xml:space="preserve"> </w:t>
      </w:r>
      <w:r w:rsidRPr="00CF7F0F">
        <w:rPr>
          <w:rFonts w:asciiTheme="minorHAnsi" w:hAnsiTheme="minorHAnsi"/>
          <w:color w:val="auto"/>
          <w:sz w:val="22"/>
          <w:szCs w:val="22"/>
        </w:rPr>
        <w:t>le compte du Laboratoire « Travaux et Recherches Archéologiques sur les Cultures, les Espaces et les Sociétés » (TRACES UMR 5608), ci-après « </w:t>
      </w:r>
      <w:r w:rsidRPr="00CF7F0F">
        <w:rPr>
          <w:rFonts w:asciiTheme="minorHAnsi" w:hAnsiTheme="minorHAnsi"/>
          <w:b/>
          <w:color w:val="auto"/>
          <w:sz w:val="22"/>
          <w:szCs w:val="22"/>
        </w:rPr>
        <w:t>TRACES </w:t>
      </w:r>
      <w:r w:rsidRPr="00CF7F0F">
        <w:rPr>
          <w:rFonts w:asciiTheme="minorHAnsi" w:hAnsiTheme="minorHAnsi"/>
          <w:color w:val="auto"/>
          <w:sz w:val="22"/>
          <w:szCs w:val="22"/>
        </w:rPr>
        <w:t xml:space="preserve">», dirigé par M. </w:t>
      </w:r>
      <w:r w:rsidR="00F06CD1" w:rsidRPr="00F06CD1">
        <w:rPr>
          <w:rFonts w:asciiTheme="minorHAnsi" w:hAnsiTheme="minorHAnsi"/>
          <w:b/>
          <w:color w:val="auto"/>
          <w:sz w:val="22"/>
          <w:szCs w:val="22"/>
        </w:rPr>
        <w:t>Nicolas VALDEYRON</w:t>
      </w:r>
      <w:r w:rsidRPr="00CF7F0F">
        <w:rPr>
          <w:rFonts w:asciiTheme="minorHAnsi" w:hAnsiTheme="minorHAnsi"/>
          <w:color w:val="auto"/>
          <w:sz w:val="22"/>
          <w:szCs w:val="22"/>
        </w:rPr>
        <w:t>.</w:t>
      </w:r>
    </w:p>
    <w:p w:rsidR="008955A2" w:rsidRPr="00CF7F0F" w:rsidRDefault="008955A2" w:rsidP="00A02D65">
      <w:pPr>
        <w:spacing w:before="120"/>
        <w:rPr>
          <w:rFonts w:asciiTheme="minorHAnsi" w:hAnsiTheme="minorHAnsi"/>
          <w:sz w:val="22"/>
          <w:szCs w:val="22"/>
        </w:rPr>
      </w:pPr>
      <w:r w:rsidRPr="00CF7F0F">
        <w:rPr>
          <w:rFonts w:asciiTheme="minorHAnsi" w:hAnsiTheme="minorHAnsi"/>
          <w:sz w:val="22"/>
          <w:szCs w:val="22"/>
        </w:rPr>
        <w:t xml:space="preserve">Le </w:t>
      </w:r>
      <w:r w:rsidRPr="00CF7F0F">
        <w:rPr>
          <w:rFonts w:asciiTheme="minorHAnsi" w:hAnsiTheme="minorHAnsi"/>
          <w:b/>
          <w:sz w:val="22"/>
          <w:szCs w:val="22"/>
        </w:rPr>
        <w:t>CNRS</w:t>
      </w:r>
      <w:r w:rsidRPr="00CF7F0F">
        <w:rPr>
          <w:rFonts w:asciiTheme="minorHAnsi" w:hAnsiTheme="minorHAnsi"/>
          <w:sz w:val="22"/>
          <w:szCs w:val="22"/>
        </w:rPr>
        <w:t xml:space="preserve"> ayant reçu mandat de l’</w:t>
      </w:r>
      <w:r w:rsidRPr="00CF7F0F">
        <w:rPr>
          <w:rFonts w:asciiTheme="minorHAnsi" w:hAnsiTheme="minorHAnsi"/>
          <w:b/>
          <w:sz w:val="22"/>
          <w:szCs w:val="22"/>
        </w:rPr>
        <w:t>UT2J</w:t>
      </w:r>
      <w:r w:rsidRPr="00CF7F0F">
        <w:rPr>
          <w:rFonts w:asciiTheme="minorHAnsi" w:hAnsiTheme="minorHAnsi"/>
          <w:sz w:val="22"/>
          <w:szCs w:val="22"/>
        </w:rPr>
        <w:t>, par la Convention quinquennale de site entrée en vigueur au 1</w:t>
      </w:r>
      <w:r w:rsidRPr="00CF7F0F">
        <w:rPr>
          <w:rFonts w:asciiTheme="minorHAnsi" w:hAnsiTheme="minorHAnsi"/>
          <w:sz w:val="22"/>
          <w:szCs w:val="22"/>
          <w:vertAlign w:val="superscript"/>
        </w:rPr>
        <w:t>er</w:t>
      </w:r>
      <w:r w:rsidRPr="00CF7F0F">
        <w:rPr>
          <w:rFonts w:asciiTheme="minorHAnsi" w:hAnsiTheme="minorHAnsi"/>
          <w:sz w:val="22"/>
          <w:szCs w:val="22"/>
        </w:rPr>
        <w:t xml:space="preserve">  janvier 2016, pour signer la présente convention en son nom. </w:t>
      </w:r>
    </w:p>
    <w:p w:rsidR="009019BA" w:rsidRPr="00CF7F0F" w:rsidRDefault="00D92A3A">
      <w:pPr>
        <w:pStyle w:val="Body1"/>
        <w:spacing w:before="120"/>
        <w:jc w:val="both"/>
        <w:rPr>
          <w:rFonts w:asciiTheme="minorHAnsi" w:hAnsiTheme="minorHAnsi"/>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le CNRS et l’UT</w:t>
      </w:r>
      <w:r w:rsidR="00E80C5A" w:rsidRPr="00CF7F0F">
        <w:rPr>
          <w:rFonts w:asciiTheme="minorHAnsi" w:hAnsiTheme="minorHAnsi"/>
          <w:color w:val="auto"/>
          <w:sz w:val="22"/>
          <w:szCs w:val="22"/>
        </w:rPr>
        <w:t>2J</w:t>
      </w:r>
      <w:r w:rsidR="009019BA" w:rsidRPr="00CF7F0F">
        <w:rPr>
          <w:rFonts w:asciiTheme="minorHAnsi" w:hAnsiTheme="minorHAnsi"/>
          <w:color w:val="auto"/>
          <w:sz w:val="22"/>
          <w:szCs w:val="22"/>
        </w:rPr>
        <w:t xml:space="preserve"> étant ci-après désignés conjointement par l</w:t>
      </w:r>
      <w:bookmarkStart w:id="0" w:name="_GoBack"/>
      <w:bookmarkEnd w:id="0"/>
      <w:r w:rsidR="009019BA" w:rsidRPr="00CF7F0F">
        <w:rPr>
          <w:rFonts w:asciiTheme="minorHAnsi" w:hAnsiTheme="minorHAnsi"/>
          <w:color w:val="auto"/>
          <w:sz w:val="22"/>
          <w:szCs w:val="22"/>
        </w:rPr>
        <w:t>es « </w:t>
      </w:r>
      <w:r w:rsidR="009019BA" w:rsidRPr="00CF7F0F">
        <w:rPr>
          <w:rFonts w:asciiTheme="minorHAnsi" w:hAnsiTheme="minorHAnsi"/>
          <w:b/>
          <w:color w:val="auto"/>
          <w:sz w:val="22"/>
          <w:szCs w:val="22"/>
        </w:rPr>
        <w:t>PARTIES</w:t>
      </w:r>
      <w:r w:rsidR="009019BA" w:rsidRPr="00CF7F0F">
        <w:rPr>
          <w:rFonts w:asciiTheme="minorHAnsi" w:hAnsiTheme="minorHAnsi"/>
          <w:color w:val="auto"/>
          <w:sz w:val="22"/>
          <w:szCs w:val="22"/>
        </w:rPr>
        <w:t> »</w:t>
      </w:r>
    </w:p>
    <w:p w:rsidR="009019BA" w:rsidRPr="00CF7F0F" w:rsidRDefault="009019BA">
      <w:pPr>
        <w:pStyle w:val="Body1"/>
        <w:spacing w:before="240"/>
        <w:jc w:val="both"/>
        <w:rPr>
          <w:rFonts w:asciiTheme="minorHAnsi" w:hAnsiTheme="minorHAnsi"/>
          <w:b/>
          <w:color w:val="auto"/>
          <w:sz w:val="22"/>
          <w:szCs w:val="22"/>
        </w:rPr>
      </w:pPr>
      <w:r w:rsidRPr="00CF7F0F">
        <w:rPr>
          <w:rFonts w:asciiTheme="minorHAnsi" w:hAnsiTheme="minorHAnsi"/>
          <w:b/>
          <w:color w:val="auto"/>
          <w:sz w:val="22"/>
          <w:szCs w:val="22"/>
        </w:rPr>
        <w:t>Préambule</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Le cœur d'activité du laboratoire TRACES UMR5608 est l'archéologie, entendue comme l'ensemble des disciplines scientifiques et des approches méthodologiques qui concourent à la reconstitution des sociétés humaines passées, sans frontières géographiques ou chronologiques. Technologies, formes d'habitat, systèmes économiques, expressions symboliques, exploitations des ressources ou encore comportements alimentaires sont ainsi interrogés dans le temps long, depuis la Préhistoire jusqu'à l'époque médiévale, et dans un espace large, celui de l'Eurasie et de l'Afrique, afin de nourrir une réflexion pluridisciplinaire sur l'évolution de l'homme et de ses sociétés. </w:t>
      </w:r>
    </w:p>
    <w:p w:rsidR="009019BA" w:rsidRPr="00CF7F0F" w:rsidRDefault="00AA140E">
      <w:pPr>
        <w:pStyle w:val="Body1"/>
        <w:spacing w:before="120"/>
        <w:jc w:val="both"/>
        <w:rPr>
          <w:rFonts w:asciiTheme="minorHAnsi" w:hAnsiTheme="minorHAnsi"/>
          <w:color w:val="auto"/>
          <w:sz w:val="22"/>
          <w:szCs w:val="22"/>
        </w:rPr>
      </w:pPr>
      <w:r w:rsidRPr="00CF7F0F">
        <w:rPr>
          <w:rFonts w:asciiTheme="minorHAnsi" w:hAnsiTheme="minorHAnsi"/>
          <w:b/>
          <w:color w:val="auto"/>
          <w:sz w:val="22"/>
          <w:szCs w:val="22"/>
          <w:highlight w:val="yellow"/>
        </w:rPr>
        <w:t>Exemple de préambule pour une collectivité territoriale :</w:t>
      </w:r>
      <w:r w:rsidRPr="00CF7F0F">
        <w:rPr>
          <w:rFonts w:asciiTheme="minorHAnsi" w:hAnsiTheme="minorHAnsi"/>
          <w:color w:val="auto"/>
          <w:sz w:val="22"/>
          <w:szCs w:val="22"/>
          <w:highlight w:val="yellow"/>
        </w:rPr>
        <w:t xml:space="preserve"> « </w:t>
      </w:r>
      <w:r w:rsidR="009019BA" w:rsidRPr="00CF7F0F">
        <w:rPr>
          <w:rFonts w:asciiTheme="minorHAnsi" w:hAnsiTheme="minorHAnsi"/>
          <w:i/>
          <w:color w:val="auto"/>
          <w:sz w:val="22"/>
          <w:szCs w:val="22"/>
          <w:highlight w:val="yellow"/>
        </w:rPr>
        <w:t>La Cité de la Préhistoire est une structure communale, basée sur le site touristique de l'Aven d'Orgnac en Ardèche. Son projet scientifique et culturel a été élaboré en 2010, validé conjointement par la Commune</w:t>
      </w:r>
      <w:r w:rsidR="00553BBE">
        <w:rPr>
          <w:rFonts w:asciiTheme="minorHAnsi" w:hAnsiTheme="minorHAnsi"/>
          <w:i/>
          <w:color w:val="auto"/>
          <w:sz w:val="22"/>
          <w:szCs w:val="22"/>
          <w:highlight w:val="yellow"/>
        </w:rPr>
        <w:t xml:space="preserve"> d’Orgnac</w:t>
      </w:r>
      <w:r w:rsidR="009019BA" w:rsidRPr="00CF7F0F">
        <w:rPr>
          <w:rFonts w:asciiTheme="minorHAnsi" w:hAnsiTheme="minorHAnsi"/>
          <w:i/>
          <w:color w:val="auto"/>
          <w:sz w:val="22"/>
          <w:szCs w:val="22"/>
          <w:highlight w:val="yellow"/>
        </w:rPr>
        <w:t xml:space="preserve">, le Service des Musées de France, la Direction régionale des Affaires culturelles de Rhône-Alpes et le Conseil Général de l'Ardèche. La vocation première de cette structure est de créer du lien entre un large public local et touristique, un territoire interrégional et la communauté scientifique. A ce titre, la Commune d'Orgnac est dans une démarche de conventionnement avec plusieurs institutions de recherche, notamment </w:t>
      </w:r>
      <w:r w:rsidR="009019BA" w:rsidRPr="00CF7F0F">
        <w:rPr>
          <w:rFonts w:asciiTheme="minorHAnsi" w:hAnsiTheme="minorHAnsi"/>
          <w:i/>
          <w:color w:val="auto"/>
          <w:sz w:val="22"/>
          <w:szCs w:val="22"/>
          <w:highlight w:val="yellow"/>
        </w:rPr>
        <w:lastRenderedPageBreak/>
        <w:t>l'INRAP et le CNRS. Dans ce cadre, la Cité de la Préhistoire souhaite développer une collaboration scientifique avec le laboratoire TRACES</w:t>
      </w:r>
      <w:r w:rsidRPr="00CF7F0F">
        <w:rPr>
          <w:rFonts w:asciiTheme="minorHAnsi" w:hAnsiTheme="minorHAnsi"/>
          <w:color w:val="auto"/>
          <w:sz w:val="22"/>
          <w:szCs w:val="22"/>
          <w:highlight w:val="yellow"/>
        </w:rPr>
        <w:t> »</w:t>
      </w:r>
      <w:r w:rsidR="009019BA" w:rsidRPr="00CF7F0F">
        <w:rPr>
          <w:rFonts w:asciiTheme="minorHAnsi" w:hAnsiTheme="minorHAnsi"/>
          <w:color w:val="auto"/>
          <w:sz w:val="22"/>
          <w:szCs w:val="22"/>
          <w:highlight w:val="yellow"/>
        </w:rPr>
        <w:t>.</w:t>
      </w:r>
    </w:p>
    <w:p w:rsidR="009019BA" w:rsidRPr="00CF7F0F" w:rsidRDefault="009019BA">
      <w:pPr>
        <w:pStyle w:val="Body1"/>
        <w:spacing w:before="240"/>
        <w:jc w:val="both"/>
        <w:rPr>
          <w:rFonts w:asciiTheme="minorHAnsi" w:hAnsiTheme="minorHAnsi"/>
          <w:b/>
          <w:color w:val="auto"/>
          <w:sz w:val="22"/>
          <w:szCs w:val="22"/>
        </w:rPr>
      </w:pPr>
      <w:r w:rsidRPr="00CF7F0F">
        <w:rPr>
          <w:rFonts w:asciiTheme="minorHAnsi" w:hAnsiTheme="minorHAnsi"/>
          <w:b/>
          <w:color w:val="auto"/>
          <w:sz w:val="22"/>
          <w:szCs w:val="22"/>
        </w:rPr>
        <w:t>IL EST CONVENU CE QUI SUIT :</w:t>
      </w: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Article 1 – Objet de la convention</w:t>
      </w:r>
    </w:p>
    <w:p w:rsidR="009019BA" w:rsidRPr="00CF7F0F" w:rsidRDefault="00D92A3A">
      <w:pPr>
        <w:pStyle w:val="Body1"/>
        <w:jc w:val="both"/>
        <w:rPr>
          <w:rFonts w:asciiTheme="minorHAnsi" w:hAnsiTheme="minorHAnsi"/>
          <w:b/>
          <w:bCs/>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Pr>
          <w:rFonts w:asciiTheme="minorHAnsi" w:hAnsiTheme="minorHAnsi"/>
          <w:iCs/>
          <w:color w:val="auto"/>
          <w:sz w:val="22"/>
          <w:szCs w:val="22"/>
        </w:rPr>
        <w:t xml:space="preserve"> </w:t>
      </w:r>
      <w:r w:rsidR="009019BA" w:rsidRPr="00CF7F0F">
        <w:rPr>
          <w:rFonts w:asciiTheme="minorHAnsi" w:hAnsiTheme="minorHAnsi"/>
          <w:color w:val="auto"/>
          <w:sz w:val="22"/>
          <w:szCs w:val="22"/>
        </w:rPr>
        <w:t>souhaite collaborer avec TRACES pour </w:t>
      </w:r>
      <w:r w:rsidR="009019BA" w:rsidRPr="00CF7F0F">
        <w:rPr>
          <w:rFonts w:asciiTheme="minorHAnsi" w:hAnsiTheme="minorHAnsi"/>
          <w:b/>
          <w:bCs/>
          <w:color w:val="auto"/>
          <w:sz w:val="22"/>
          <w:szCs w:val="22"/>
        </w:rPr>
        <w:t>:</w:t>
      </w:r>
      <w:r w:rsidR="00CF7F0F" w:rsidRPr="00CF7F0F">
        <w:rPr>
          <w:rFonts w:asciiTheme="minorHAnsi" w:hAnsiTheme="minorHAnsi"/>
          <w:b/>
          <w:bCs/>
          <w:color w:val="auto"/>
          <w:sz w:val="22"/>
          <w:szCs w:val="22"/>
        </w:rPr>
        <w:t xml:space="preserve"> </w:t>
      </w:r>
      <w:r w:rsidR="00CF7F0F" w:rsidRPr="00CF7F0F">
        <w:rPr>
          <w:rFonts w:asciiTheme="minorHAnsi" w:hAnsiTheme="minorHAnsi"/>
          <w:b/>
          <w:bCs/>
          <w:color w:val="auto"/>
          <w:sz w:val="22"/>
          <w:szCs w:val="22"/>
          <w:highlight w:val="yellow"/>
        </w:rPr>
        <w:t>exemples</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La définition et les principes de conception d’un contenu scientifique et technique d’expositions temporaires,</w:t>
      </w:r>
    </w:p>
    <w:p w:rsidR="009019BA" w:rsidRPr="00CF7F0F" w:rsidRDefault="00CF7F0F"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 xml:space="preserve">la </w:t>
      </w:r>
      <w:r w:rsidR="009019BA" w:rsidRPr="00CF7F0F">
        <w:rPr>
          <w:rFonts w:asciiTheme="minorHAnsi" w:hAnsiTheme="minorHAnsi"/>
          <w:color w:val="auto"/>
          <w:sz w:val="22"/>
          <w:szCs w:val="22"/>
          <w:highlight w:val="yellow"/>
        </w:rPr>
        <w:t xml:space="preserve">conception et la rédaction d'un catalogue relatif </w:t>
      </w:r>
      <w:r w:rsidR="001250E7" w:rsidRPr="00CF7F0F">
        <w:rPr>
          <w:rFonts w:asciiTheme="minorHAnsi" w:hAnsiTheme="minorHAnsi"/>
          <w:color w:val="auto"/>
          <w:sz w:val="22"/>
          <w:szCs w:val="22"/>
          <w:highlight w:val="yellow"/>
        </w:rPr>
        <w:t>à</w:t>
      </w:r>
      <w:r w:rsidR="009019BA" w:rsidRPr="00CF7F0F">
        <w:rPr>
          <w:rFonts w:asciiTheme="minorHAnsi" w:hAnsiTheme="minorHAnsi"/>
          <w:color w:val="auto"/>
          <w:sz w:val="22"/>
          <w:szCs w:val="22"/>
          <w:highlight w:val="yellow"/>
        </w:rPr>
        <w:t xml:space="preserve"> l'exposition permanente de la Cité de la Préhistoire, </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La définition thématique en vue de l’organisation de séminaires, de colloques, de conférences, de journées thématiques,</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Son expertise scientifique dans le cadre</w:t>
      </w:r>
      <w:r w:rsidR="00CF7F0F" w:rsidRPr="00CF7F0F">
        <w:rPr>
          <w:rFonts w:asciiTheme="minorHAnsi" w:hAnsiTheme="minorHAnsi"/>
          <w:color w:val="auto"/>
          <w:sz w:val="22"/>
          <w:szCs w:val="22"/>
          <w:highlight w:val="yellow"/>
        </w:rPr>
        <w:t xml:space="preserve"> des études pour récolement et </w:t>
      </w:r>
      <w:r w:rsidRPr="00CF7F0F">
        <w:rPr>
          <w:rFonts w:asciiTheme="minorHAnsi" w:hAnsiTheme="minorHAnsi"/>
          <w:color w:val="auto"/>
          <w:sz w:val="22"/>
          <w:szCs w:val="22"/>
          <w:highlight w:val="yellow"/>
        </w:rPr>
        <w:t xml:space="preserve">valorisation des collections de la Cité de la Préhistoire,  </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 xml:space="preserve">L’appui scientifique à la conception et à la réalisation d’outils de médiation et de communication, </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Participer au comité scientifique du projet de rénovation de la Cité de la Préhistoire,</w:t>
      </w:r>
    </w:p>
    <w:p w:rsidR="009019BA" w:rsidRPr="00CF7F0F" w:rsidRDefault="009019BA" w:rsidP="0002735A">
      <w:pPr>
        <w:pStyle w:val="Body1"/>
        <w:numPr>
          <w:ilvl w:val="0"/>
          <w:numId w:val="3"/>
        </w:numPr>
        <w:tabs>
          <w:tab w:val="clear" w:pos="0"/>
          <w:tab w:val="left" w:pos="567"/>
        </w:tabs>
        <w:ind w:left="567" w:hanging="397"/>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L'élaboration de sujets de mémoires universitaires relatifs au patrimoine préhistorique du territoire de la Cité de la Préhistoire.</w:t>
      </w:r>
    </w:p>
    <w:p w:rsidR="009019BA" w:rsidRPr="00CF7F0F" w:rsidRDefault="009019BA" w:rsidP="00501F51">
      <w:pPr>
        <w:pStyle w:val="Titre1"/>
        <w:numPr>
          <w:ilvl w:val="0"/>
          <w:numId w:val="0"/>
        </w:numPr>
        <w:rPr>
          <w:rFonts w:asciiTheme="minorHAnsi" w:hAnsiTheme="minorHAnsi"/>
          <w:bCs w:val="0"/>
          <w:sz w:val="22"/>
          <w:szCs w:val="22"/>
        </w:rPr>
      </w:pPr>
      <w:r w:rsidRPr="00CF7F0F">
        <w:rPr>
          <w:rFonts w:asciiTheme="minorHAnsi" w:hAnsiTheme="minorHAnsi"/>
          <w:bCs w:val="0"/>
          <w:sz w:val="22"/>
          <w:szCs w:val="22"/>
          <w:highlight w:val="yellow"/>
        </w:rPr>
        <w:t>Les périodes archéologiques concernées sont le Paléolithique, le Mésolithique, le Néolithique, l'Age du Bronze et l'Age du Fer.</w:t>
      </w: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 xml:space="preserve">Article 2 – Responsables de la collaboration. </w:t>
      </w:r>
    </w:p>
    <w:p w:rsidR="009019BA" w:rsidRPr="00CF7F0F" w:rsidRDefault="009019BA">
      <w:pPr>
        <w:pStyle w:val="Body1"/>
        <w:spacing w:before="120"/>
        <w:jc w:val="both"/>
        <w:rPr>
          <w:rFonts w:asciiTheme="minorHAnsi" w:hAnsiTheme="minorHAnsi"/>
          <w:bCs/>
          <w:color w:val="auto"/>
          <w:sz w:val="22"/>
          <w:szCs w:val="22"/>
        </w:rPr>
      </w:pPr>
      <w:r w:rsidRPr="00CF7F0F">
        <w:rPr>
          <w:rFonts w:asciiTheme="minorHAnsi" w:hAnsiTheme="minorHAnsi"/>
          <w:bCs/>
          <w:color w:val="auto"/>
          <w:sz w:val="22"/>
          <w:szCs w:val="22"/>
        </w:rPr>
        <w:t xml:space="preserve">A TRACES, la collaboration sera placée sous la responsabilité scientifique du directeur du laboratoire. </w:t>
      </w:r>
    </w:p>
    <w:p w:rsidR="009019BA" w:rsidRPr="00CF7F0F" w:rsidRDefault="00501F51">
      <w:pPr>
        <w:pStyle w:val="Body1"/>
        <w:spacing w:before="120"/>
        <w:jc w:val="both"/>
        <w:rPr>
          <w:rFonts w:asciiTheme="minorHAnsi" w:hAnsiTheme="minorHAnsi"/>
          <w:bCs/>
          <w:color w:val="auto"/>
          <w:sz w:val="22"/>
          <w:szCs w:val="22"/>
        </w:rPr>
      </w:pPr>
      <w:r w:rsidRPr="00CF7F0F">
        <w:rPr>
          <w:rFonts w:asciiTheme="minorHAnsi" w:hAnsiTheme="minorHAnsi"/>
          <w:bCs/>
          <w:color w:val="auto"/>
          <w:sz w:val="22"/>
          <w:szCs w:val="22"/>
        </w:rPr>
        <w:t xml:space="preserve">A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Pr="00CF7F0F">
        <w:rPr>
          <w:rFonts w:asciiTheme="minorHAnsi" w:hAnsiTheme="minorHAnsi"/>
          <w:bCs/>
          <w:color w:val="auto"/>
          <w:sz w:val="22"/>
          <w:szCs w:val="22"/>
        </w:rPr>
        <w:t xml:space="preserve">, </w:t>
      </w:r>
      <w:r w:rsidR="009019BA" w:rsidRPr="00CF7F0F">
        <w:rPr>
          <w:rFonts w:asciiTheme="minorHAnsi" w:hAnsiTheme="minorHAnsi"/>
          <w:bCs/>
          <w:color w:val="auto"/>
          <w:sz w:val="22"/>
          <w:szCs w:val="22"/>
        </w:rPr>
        <w:t>la collaboration sera placée sous la responsabilité scientifique de</w:t>
      </w:r>
      <w:r w:rsidR="009019BA" w:rsidRPr="00CF7F0F">
        <w:rPr>
          <w:rFonts w:asciiTheme="minorHAnsi" w:hAnsiTheme="minorHAnsi"/>
          <w:bCs/>
          <w:color w:val="auto"/>
          <w:sz w:val="22"/>
          <w:szCs w:val="22"/>
          <w:highlight w:val="yellow"/>
        </w:rPr>
        <w:t xml:space="preserve"> </w:t>
      </w:r>
      <w:r w:rsidR="00CF7F0F" w:rsidRPr="00CF7F0F">
        <w:rPr>
          <w:rFonts w:asciiTheme="minorHAnsi" w:hAnsiTheme="minorHAnsi"/>
          <w:b/>
          <w:bCs/>
          <w:color w:val="auto"/>
          <w:sz w:val="22"/>
          <w:szCs w:val="22"/>
          <w:highlight w:val="yellow"/>
        </w:rPr>
        <w:t>« Prénom NOM, fonction »</w:t>
      </w:r>
      <w:r w:rsidR="009019BA" w:rsidRPr="00CF7F0F">
        <w:rPr>
          <w:rFonts w:asciiTheme="minorHAnsi" w:hAnsiTheme="minorHAnsi"/>
          <w:b/>
          <w:bCs/>
          <w:color w:val="auto"/>
          <w:sz w:val="22"/>
          <w:szCs w:val="22"/>
          <w:highlight w:val="yellow"/>
        </w:rPr>
        <w:t>.</w:t>
      </w: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 xml:space="preserve">Article 3 – Domaines d’intervention </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 xml:space="preserve">3.1 – Exposition </w:t>
      </w:r>
    </w:p>
    <w:p w:rsidR="009019BA" w:rsidRPr="00CF7F0F" w:rsidRDefault="009019BA">
      <w:pPr>
        <w:pStyle w:val="Body1"/>
        <w:spacing w:before="120"/>
        <w:jc w:val="both"/>
        <w:rPr>
          <w:rFonts w:asciiTheme="minorHAnsi" w:hAnsiTheme="minorHAnsi"/>
          <w:color w:val="auto"/>
          <w:sz w:val="22"/>
          <w:szCs w:val="22"/>
          <w:u w:val="single"/>
        </w:rPr>
      </w:pPr>
      <w:r w:rsidRPr="00CF7F0F">
        <w:rPr>
          <w:rFonts w:asciiTheme="minorHAnsi" w:hAnsiTheme="minorHAnsi"/>
          <w:color w:val="auto"/>
          <w:sz w:val="22"/>
          <w:szCs w:val="22"/>
          <w:u w:val="single"/>
        </w:rPr>
        <w:t xml:space="preserve">Article 3.1.1 – Participation à la réalisation d'expositions temporaires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Pour les expositions, la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00CF7F0F">
        <w:rPr>
          <w:rFonts w:asciiTheme="minorHAnsi" w:hAnsiTheme="minorHAnsi"/>
          <w:b/>
          <w:color w:val="auto"/>
          <w:sz w:val="22"/>
          <w:szCs w:val="22"/>
        </w:rPr>
        <w:t xml:space="preserve"> </w:t>
      </w:r>
      <w:r w:rsidRPr="00CF7F0F">
        <w:rPr>
          <w:rFonts w:asciiTheme="minorHAnsi" w:hAnsiTheme="minorHAnsi"/>
          <w:color w:val="auto"/>
          <w:sz w:val="22"/>
          <w:szCs w:val="22"/>
        </w:rPr>
        <w:t xml:space="preserve">et TRACES proposent la déclinaison d’un concept général en modules d’exposition avec un programme scénographique associé (objets, œuvres, iconographie, etc.), sous forme d’un document de travail soumis à l’appréciation du </w:t>
      </w:r>
      <w:r w:rsidR="00CF7F0F" w:rsidRPr="00CF7F0F">
        <w:rPr>
          <w:rFonts w:asciiTheme="minorHAnsi" w:hAnsiTheme="minorHAnsi"/>
          <w:b/>
          <w:color w:val="auto"/>
          <w:sz w:val="22"/>
          <w:szCs w:val="22"/>
          <w:highlight w:val="yellow"/>
        </w:rPr>
        <w:t>« Nom de la collectivité territoriale »</w:t>
      </w:r>
      <w:r w:rsidRPr="00CF7F0F">
        <w:rPr>
          <w:rFonts w:asciiTheme="minorHAnsi" w:hAnsiTheme="minorHAnsi"/>
          <w:color w:val="auto"/>
          <w:sz w:val="22"/>
          <w:szCs w:val="22"/>
        </w:rPr>
        <w:t xml:space="preserve">, notamment en fonction des limites budgétaires de l’exposition. Une fois validé par </w:t>
      </w:r>
      <w:r w:rsidR="00CF7F0F" w:rsidRPr="00CF7F0F">
        <w:rPr>
          <w:rFonts w:asciiTheme="minorHAnsi" w:hAnsiTheme="minorHAnsi"/>
          <w:b/>
          <w:color w:val="auto"/>
          <w:sz w:val="22"/>
          <w:szCs w:val="22"/>
          <w:highlight w:val="yellow"/>
        </w:rPr>
        <w:t>« Nom de la collectivité territoriale »</w:t>
      </w:r>
      <w:r w:rsidRPr="00CF7F0F">
        <w:rPr>
          <w:rFonts w:asciiTheme="minorHAnsi" w:hAnsiTheme="minorHAnsi"/>
          <w:color w:val="auto"/>
          <w:sz w:val="22"/>
          <w:szCs w:val="22"/>
        </w:rPr>
        <w:t xml:space="preserve">, le document de travail devient cahier des charges pour l’exposition. Le cahier des charges devra être traduit par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00D92A3A">
        <w:rPr>
          <w:rFonts w:asciiTheme="minorHAnsi" w:hAnsiTheme="minorHAnsi"/>
          <w:b/>
          <w:color w:val="auto"/>
          <w:sz w:val="22"/>
          <w:szCs w:val="22"/>
        </w:rPr>
        <w:t xml:space="preserve"> </w:t>
      </w:r>
      <w:r w:rsidRPr="00CF7F0F">
        <w:rPr>
          <w:rFonts w:asciiTheme="minorHAnsi" w:hAnsiTheme="minorHAnsi"/>
          <w:color w:val="auto"/>
          <w:sz w:val="22"/>
          <w:szCs w:val="22"/>
        </w:rPr>
        <w:t xml:space="preserve">en dossier de consultation des entreprises. Le temps de l’exposition se déroulera au minimum pour une période de 1 an.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00D92A3A">
        <w:rPr>
          <w:rFonts w:asciiTheme="minorHAnsi" w:hAnsiTheme="minorHAnsi"/>
          <w:b/>
          <w:color w:val="auto"/>
          <w:sz w:val="22"/>
          <w:szCs w:val="22"/>
        </w:rPr>
        <w:t xml:space="preserve"> </w:t>
      </w:r>
      <w:r w:rsidRPr="00CF7F0F">
        <w:rPr>
          <w:rFonts w:asciiTheme="minorHAnsi" w:hAnsiTheme="minorHAnsi"/>
          <w:color w:val="auto"/>
          <w:sz w:val="22"/>
          <w:szCs w:val="22"/>
        </w:rPr>
        <w:t xml:space="preserve">devra s’assurer des droits concernant les images, objets et documents figurant dans l’exposition. TRACES pourra aider la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Pr="00CF7F0F">
        <w:rPr>
          <w:rFonts w:asciiTheme="minorHAnsi" w:hAnsiTheme="minorHAnsi"/>
          <w:color w:val="auto"/>
          <w:sz w:val="22"/>
          <w:szCs w:val="22"/>
        </w:rPr>
        <w:t xml:space="preserve"> dans cette démarche, notamment pour obtenir l’autorisation de reproduction de documents scientifiques.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L’utilisation du document de travail et des concepts scientifiques associés est concédée par TRACES </w:t>
      </w:r>
      <w:r w:rsidR="00D92A3A">
        <w:rPr>
          <w:rFonts w:asciiTheme="minorHAnsi" w:hAnsiTheme="minorHAnsi"/>
          <w:color w:val="auto"/>
          <w:sz w:val="22"/>
          <w:szCs w:val="22"/>
        </w:rPr>
        <w:t xml:space="preserve">à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Pr="00CF7F0F">
        <w:rPr>
          <w:rFonts w:asciiTheme="minorHAnsi" w:hAnsiTheme="minorHAnsi"/>
          <w:color w:val="auto"/>
          <w:sz w:val="22"/>
          <w:szCs w:val="22"/>
        </w:rPr>
        <w:t xml:space="preserve"> pour la durée de l’exposition, sa promotion préalable et postérieure. TRACES pourra réutiliser ses concepts scientifiques tout en s’engageant à ne pas réutiliser la scénographie.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TRACES se charge de mobiliser le « Pôle ArchéoScience Toulouse » ainsi que son réseau scientifique et technique pour apporter au projet la plus grande qualité scientifique et lui donner la résonance et l’impact nécessaire.</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lastRenderedPageBreak/>
        <w:t xml:space="preserve">TRACES propose à la </w:t>
      </w:r>
      <w:r w:rsidR="00D92A3A">
        <w:rPr>
          <w:rFonts w:asciiTheme="minorHAnsi" w:hAnsiTheme="minorHAnsi"/>
          <w:iCs/>
          <w:color w:val="auto"/>
          <w:sz w:val="22"/>
          <w:szCs w:val="22"/>
          <w:highlight w:val="yellow"/>
        </w:rPr>
        <w:t>« </w:t>
      </w:r>
      <w:r w:rsidR="00D92A3A" w:rsidRPr="00D92A3A">
        <w:rPr>
          <w:rFonts w:asciiTheme="minorHAnsi" w:hAnsiTheme="minorHAnsi"/>
          <w:b/>
          <w:iCs/>
          <w:color w:val="auto"/>
          <w:sz w:val="22"/>
          <w:szCs w:val="22"/>
          <w:highlight w:val="yellow"/>
        </w:rPr>
        <w:t>Nom de l’entité</w:t>
      </w:r>
      <w:r w:rsidR="00D92A3A">
        <w:rPr>
          <w:rFonts w:asciiTheme="minorHAnsi" w:hAnsiTheme="minorHAnsi"/>
          <w:iCs/>
          <w:color w:val="auto"/>
          <w:sz w:val="22"/>
          <w:szCs w:val="22"/>
          <w:highlight w:val="yellow"/>
        </w:rPr>
        <w:t> »</w:t>
      </w:r>
      <w:r w:rsidRPr="00CF7F0F">
        <w:rPr>
          <w:rFonts w:asciiTheme="minorHAnsi" w:hAnsiTheme="minorHAnsi"/>
          <w:color w:val="auto"/>
          <w:sz w:val="22"/>
          <w:szCs w:val="22"/>
        </w:rPr>
        <w:t xml:space="preserve">, les objets archéologiques sélectionnés, à présenter dans l’exposition. Il en est de même chaque année, pour </w:t>
      </w:r>
      <w:r w:rsidR="00D92A3A" w:rsidRPr="00CF7F0F">
        <w:rPr>
          <w:rFonts w:asciiTheme="minorHAnsi" w:hAnsiTheme="minorHAnsi"/>
          <w:color w:val="auto"/>
          <w:sz w:val="22"/>
          <w:szCs w:val="22"/>
        </w:rPr>
        <w:t>renouveler tout</w:t>
      </w:r>
      <w:r w:rsidRPr="00CF7F0F">
        <w:rPr>
          <w:rFonts w:asciiTheme="minorHAnsi" w:hAnsiTheme="minorHAnsi"/>
          <w:color w:val="auto"/>
          <w:sz w:val="22"/>
          <w:szCs w:val="22"/>
        </w:rPr>
        <w:t xml:space="preserve"> ou partie de la liste des œuvres pressenties, au plus tard au mois de novembre qui précède l’ouverture au public. </w:t>
      </w:r>
      <w:r w:rsidR="00D92A3A" w:rsidRPr="00CF7F0F">
        <w:rPr>
          <w:rFonts w:asciiTheme="minorHAnsi" w:hAnsiTheme="minorHAnsi"/>
          <w:b/>
          <w:bCs/>
          <w:color w:val="auto"/>
          <w:sz w:val="22"/>
          <w:szCs w:val="22"/>
          <w:highlight w:val="yellow"/>
        </w:rPr>
        <w:t>« Prénom NOM, fonction »</w:t>
      </w:r>
      <w:r w:rsidRPr="00CF7F0F">
        <w:rPr>
          <w:rFonts w:asciiTheme="minorHAnsi" w:hAnsiTheme="minorHAnsi"/>
          <w:color w:val="auto"/>
          <w:sz w:val="22"/>
          <w:szCs w:val="22"/>
        </w:rPr>
        <w:t xml:space="preserve"> se charge des contacts, des demandes d’autorisations de prêts auprès des musées et prêteurs, des assurances ainsi que du transport des pièces.</w:t>
      </w:r>
    </w:p>
    <w:p w:rsidR="009019BA" w:rsidRPr="00CF7F0F" w:rsidRDefault="009019BA">
      <w:pPr>
        <w:pStyle w:val="Body1"/>
        <w:spacing w:before="120"/>
        <w:jc w:val="both"/>
        <w:rPr>
          <w:rFonts w:asciiTheme="minorHAnsi" w:hAnsiTheme="minorHAnsi"/>
          <w:color w:val="auto"/>
          <w:sz w:val="22"/>
          <w:szCs w:val="22"/>
          <w:u w:val="single"/>
        </w:rPr>
      </w:pPr>
      <w:r w:rsidRPr="00CF7F0F">
        <w:rPr>
          <w:rFonts w:asciiTheme="minorHAnsi" w:hAnsiTheme="minorHAnsi"/>
          <w:color w:val="auto"/>
          <w:sz w:val="22"/>
          <w:szCs w:val="22"/>
          <w:u w:val="single"/>
        </w:rPr>
        <w:t>Article 3.1.2 – Participation à la rédaction de catalogues d'expositions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Un catalogue est associé à chaque exposition (y compris l'exposition permanente). TRACES pourra être sollicité pour la conception générale du catalogue, la rédaction de textes, la fourniture de documentation </w:t>
      </w:r>
      <w:r w:rsidR="00D92A3A" w:rsidRPr="00CF7F0F">
        <w:rPr>
          <w:rFonts w:asciiTheme="minorHAnsi" w:hAnsiTheme="minorHAnsi"/>
          <w:color w:val="auto"/>
          <w:sz w:val="22"/>
          <w:szCs w:val="22"/>
        </w:rPr>
        <w:t>scientifique et</w:t>
      </w:r>
      <w:r w:rsidRPr="00CF7F0F">
        <w:rPr>
          <w:rFonts w:asciiTheme="minorHAnsi" w:hAnsiTheme="minorHAnsi"/>
          <w:color w:val="auto"/>
          <w:sz w:val="22"/>
          <w:szCs w:val="22"/>
        </w:rPr>
        <w:t xml:space="preserve"> la validation des contenus.</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 xml:space="preserve">Article 3.2 – Recherche </w:t>
      </w:r>
      <w:r w:rsidR="00CF7F0F" w:rsidRPr="00CF7F0F">
        <w:rPr>
          <w:rFonts w:asciiTheme="minorHAnsi" w:hAnsiTheme="minorHAnsi"/>
          <w:sz w:val="22"/>
          <w:szCs w:val="22"/>
        </w:rPr>
        <w:t>et Communications</w:t>
      </w:r>
      <w:r w:rsidRPr="00CF7F0F">
        <w:rPr>
          <w:rFonts w:asciiTheme="minorHAnsi" w:hAnsiTheme="minorHAnsi"/>
          <w:sz w:val="22"/>
          <w:szCs w:val="22"/>
        </w:rPr>
        <w:t xml:space="preserve"> scientifiques</w:t>
      </w:r>
    </w:p>
    <w:p w:rsidR="009019BA" w:rsidRPr="00CF7F0F" w:rsidRDefault="009019BA">
      <w:pPr>
        <w:pStyle w:val="Body1"/>
        <w:spacing w:before="240"/>
        <w:jc w:val="both"/>
        <w:rPr>
          <w:rStyle w:val="Accentuation"/>
          <w:rFonts w:asciiTheme="minorHAnsi" w:hAnsiTheme="minorHAnsi"/>
          <w:szCs w:val="22"/>
        </w:rPr>
      </w:pPr>
      <w:r w:rsidRPr="00CF7F0F">
        <w:rPr>
          <w:rStyle w:val="Accentuation"/>
          <w:rFonts w:asciiTheme="minorHAnsi" w:hAnsiTheme="minorHAnsi"/>
          <w:szCs w:val="22"/>
        </w:rPr>
        <w:t xml:space="preserve">Article 3.2.1 – Etudes </w:t>
      </w:r>
    </w:p>
    <w:p w:rsidR="009019BA" w:rsidRPr="00CF7F0F" w:rsidRDefault="00D92A3A">
      <w:pPr>
        <w:pStyle w:val="Body1"/>
        <w:spacing w:before="120"/>
        <w:jc w:val="both"/>
        <w:rPr>
          <w:rFonts w:asciiTheme="minorHAnsi" w:hAnsiTheme="minorHAnsi"/>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xml:space="preserve"> et TRACES, proposent une déclinaison du concept général par un travail d’expertise scientifique et technique pour l’étude et la valorisation des collections appartenant au département en fonction des besoins réciproques. </w:t>
      </w:r>
    </w:p>
    <w:p w:rsidR="009019BA" w:rsidRPr="00CF7F0F" w:rsidRDefault="009019BA">
      <w:pPr>
        <w:pStyle w:val="Body1"/>
        <w:spacing w:before="240"/>
        <w:jc w:val="both"/>
        <w:rPr>
          <w:rStyle w:val="Accentuation"/>
          <w:rFonts w:asciiTheme="minorHAnsi" w:hAnsiTheme="minorHAnsi"/>
          <w:szCs w:val="22"/>
        </w:rPr>
      </w:pPr>
      <w:r w:rsidRPr="00CF7F0F">
        <w:rPr>
          <w:rStyle w:val="Accentuation"/>
          <w:rFonts w:asciiTheme="minorHAnsi" w:hAnsiTheme="minorHAnsi"/>
          <w:szCs w:val="22"/>
        </w:rPr>
        <w:t xml:space="preserve">Article 3.2.2 – Organisation de colloques / congrès  </w:t>
      </w:r>
    </w:p>
    <w:p w:rsidR="009019BA" w:rsidRPr="00CF7F0F" w:rsidRDefault="00D92A3A">
      <w:pPr>
        <w:pStyle w:val="Body1"/>
        <w:spacing w:before="120"/>
        <w:jc w:val="both"/>
        <w:rPr>
          <w:rFonts w:asciiTheme="minorHAnsi" w:hAnsiTheme="minorHAnsi"/>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Pr>
          <w:rFonts w:asciiTheme="minorHAnsi" w:hAnsiTheme="minorHAnsi"/>
          <w:b/>
          <w:color w:val="auto"/>
          <w:sz w:val="22"/>
          <w:szCs w:val="22"/>
        </w:rPr>
        <w:t xml:space="preserve"> </w:t>
      </w:r>
      <w:r w:rsidR="009019BA" w:rsidRPr="00CF7F0F">
        <w:rPr>
          <w:rFonts w:asciiTheme="minorHAnsi" w:hAnsiTheme="minorHAnsi"/>
          <w:color w:val="auto"/>
          <w:sz w:val="22"/>
          <w:szCs w:val="22"/>
        </w:rPr>
        <w:t xml:space="preserve">et </w:t>
      </w:r>
      <w:r w:rsidRPr="00CF7F0F">
        <w:rPr>
          <w:rFonts w:asciiTheme="minorHAnsi" w:hAnsiTheme="minorHAnsi"/>
          <w:color w:val="auto"/>
          <w:sz w:val="22"/>
          <w:szCs w:val="22"/>
        </w:rPr>
        <w:t>TRACES proposent</w:t>
      </w:r>
      <w:r w:rsidR="009019BA" w:rsidRPr="00CF7F0F">
        <w:rPr>
          <w:rFonts w:asciiTheme="minorHAnsi" w:hAnsiTheme="minorHAnsi"/>
          <w:color w:val="auto"/>
          <w:sz w:val="22"/>
          <w:szCs w:val="22"/>
        </w:rPr>
        <w:t xml:space="preserve"> une déclinaison du concept général pour l’organisation de colloques scientifiques. Chaque proposition fera l’objet d’une présentation :</w:t>
      </w:r>
    </w:p>
    <w:p w:rsidR="009019BA" w:rsidRPr="00CF7F0F" w:rsidRDefault="009019BA">
      <w:pPr>
        <w:pStyle w:val="Body1"/>
        <w:numPr>
          <w:ilvl w:val="0"/>
          <w:numId w:val="4"/>
        </w:numPr>
        <w:rPr>
          <w:rFonts w:asciiTheme="minorHAnsi" w:hAnsiTheme="minorHAnsi"/>
          <w:color w:val="auto"/>
          <w:sz w:val="22"/>
          <w:szCs w:val="22"/>
        </w:rPr>
      </w:pPr>
      <w:r w:rsidRPr="00CF7F0F">
        <w:rPr>
          <w:rFonts w:asciiTheme="minorHAnsi" w:hAnsiTheme="minorHAnsi"/>
          <w:color w:val="auto"/>
          <w:sz w:val="22"/>
          <w:szCs w:val="22"/>
        </w:rPr>
        <w:t>De l’objet scientifique de l’évènement</w:t>
      </w:r>
    </w:p>
    <w:p w:rsidR="009019BA" w:rsidRPr="00CF7F0F" w:rsidRDefault="009019BA">
      <w:pPr>
        <w:pStyle w:val="Body1"/>
        <w:numPr>
          <w:ilvl w:val="0"/>
          <w:numId w:val="4"/>
        </w:numPr>
        <w:rPr>
          <w:rFonts w:asciiTheme="minorHAnsi" w:hAnsiTheme="minorHAnsi"/>
          <w:color w:val="auto"/>
          <w:sz w:val="22"/>
          <w:szCs w:val="22"/>
        </w:rPr>
      </w:pPr>
      <w:r w:rsidRPr="00CF7F0F">
        <w:rPr>
          <w:rFonts w:asciiTheme="minorHAnsi" w:hAnsiTheme="minorHAnsi"/>
          <w:color w:val="auto"/>
          <w:sz w:val="22"/>
          <w:szCs w:val="22"/>
        </w:rPr>
        <w:t>Du comité organisateur</w:t>
      </w:r>
    </w:p>
    <w:p w:rsidR="009019BA" w:rsidRPr="00CF7F0F" w:rsidRDefault="009019BA">
      <w:pPr>
        <w:pStyle w:val="Body1"/>
        <w:numPr>
          <w:ilvl w:val="0"/>
          <w:numId w:val="4"/>
        </w:numPr>
        <w:rPr>
          <w:rFonts w:asciiTheme="minorHAnsi" w:hAnsiTheme="minorHAnsi"/>
          <w:color w:val="auto"/>
          <w:sz w:val="22"/>
          <w:szCs w:val="22"/>
        </w:rPr>
      </w:pPr>
      <w:r w:rsidRPr="00CF7F0F">
        <w:rPr>
          <w:rFonts w:asciiTheme="minorHAnsi" w:hAnsiTheme="minorHAnsi"/>
          <w:color w:val="auto"/>
          <w:sz w:val="22"/>
          <w:szCs w:val="22"/>
        </w:rPr>
        <w:t>Du comité scientifique</w:t>
      </w:r>
    </w:p>
    <w:p w:rsidR="009019BA" w:rsidRPr="00CF7F0F" w:rsidRDefault="009019BA">
      <w:pPr>
        <w:pStyle w:val="Body1"/>
        <w:numPr>
          <w:ilvl w:val="0"/>
          <w:numId w:val="4"/>
        </w:numPr>
        <w:rPr>
          <w:rFonts w:asciiTheme="minorHAnsi" w:hAnsiTheme="minorHAnsi"/>
          <w:color w:val="auto"/>
          <w:sz w:val="22"/>
          <w:szCs w:val="22"/>
        </w:rPr>
      </w:pPr>
      <w:r w:rsidRPr="00CF7F0F">
        <w:rPr>
          <w:rFonts w:asciiTheme="minorHAnsi" w:hAnsiTheme="minorHAnsi"/>
          <w:color w:val="auto"/>
          <w:sz w:val="22"/>
          <w:szCs w:val="22"/>
        </w:rPr>
        <w:t>Du budget prévisionnel détaillé</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Toute proposition de colloque sera discutée au minimum deux années avant la date fixée.</w:t>
      </w:r>
    </w:p>
    <w:p w:rsidR="009019BA" w:rsidRPr="00CF7F0F" w:rsidRDefault="009019BA">
      <w:pPr>
        <w:pStyle w:val="Body1"/>
        <w:spacing w:before="240"/>
        <w:jc w:val="both"/>
        <w:rPr>
          <w:rStyle w:val="Accentuation"/>
          <w:rFonts w:asciiTheme="minorHAnsi" w:hAnsiTheme="minorHAnsi"/>
          <w:szCs w:val="22"/>
        </w:rPr>
      </w:pPr>
      <w:r w:rsidRPr="00CF7F0F">
        <w:rPr>
          <w:rStyle w:val="Accentuation"/>
          <w:rFonts w:asciiTheme="minorHAnsi" w:hAnsiTheme="minorHAnsi"/>
          <w:szCs w:val="22"/>
        </w:rPr>
        <w:t xml:space="preserve">Article 3.2.3 – Organisation de conférences  </w:t>
      </w:r>
    </w:p>
    <w:p w:rsidR="009019BA" w:rsidRPr="00CF7F0F" w:rsidRDefault="00D92A3A">
      <w:pPr>
        <w:pStyle w:val="Body1"/>
        <w:spacing w:before="120"/>
        <w:jc w:val="both"/>
        <w:rPr>
          <w:rFonts w:asciiTheme="minorHAnsi" w:hAnsiTheme="minorHAnsi"/>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xml:space="preserve"> et TRACES proposent une déclinaison du concept général pour l’organisation de conférences annuelles. </w:t>
      </w:r>
    </w:p>
    <w:p w:rsidR="009019BA" w:rsidRPr="00CF7F0F" w:rsidRDefault="009019BA">
      <w:pPr>
        <w:pStyle w:val="Body1"/>
        <w:spacing w:before="240"/>
        <w:jc w:val="both"/>
        <w:rPr>
          <w:rStyle w:val="Accentuation"/>
          <w:rFonts w:asciiTheme="minorHAnsi" w:hAnsiTheme="minorHAnsi"/>
          <w:szCs w:val="22"/>
        </w:rPr>
      </w:pPr>
      <w:r w:rsidRPr="00CF7F0F">
        <w:rPr>
          <w:rStyle w:val="Accentuation"/>
          <w:rFonts w:asciiTheme="minorHAnsi" w:hAnsiTheme="minorHAnsi"/>
          <w:szCs w:val="22"/>
        </w:rPr>
        <w:t>Article 3.2.4 – Organisation de séminaires</w:t>
      </w:r>
    </w:p>
    <w:p w:rsidR="009019BA" w:rsidRPr="00CF7F0F" w:rsidRDefault="00D92A3A">
      <w:pPr>
        <w:pStyle w:val="Body1"/>
        <w:spacing w:before="120"/>
        <w:jc w:val="both"/>
        <w:rPr>
          <w:rStyle w:val="Accentuation"/>
          <w:rFonts w:asciiTheme="minorHAnsi" w:hAnsiTheme="minorHAnsi"/>
          <w:szCs w:val="22"/>
          <w:u w:val="none"/>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Style w:val="Accentuation"/>
          <w:rFonts w:asciiTheme="minorHAnsi" w:hAnsiTheme="minorHAnsi"/>
          <w:szCs w:val="22"/>
          <w:u w:val="none"/>
        </w:rPr>
        <w:t xml:space="preserve"> et TRACES proposent une déclinaison du concept général pour l’organisation de séminaires. Ces séminaires peuvent être universitaires et organisés avec d'autres partenaires scientifiques.</w:t>
      </w:r>
    </w:p>
    <w:p w:rsidR="009019BA" w:rsidRPr="00CF7F0F" w:rsidRDefault="009019BA">
      <w:pPr>
        <w:pStyle w:val="Body1"/>
        <w:spacing w:before="240"/>
        <w:jc w:val="both"/>
        <w:rPr>
          <w:rStyle w:val="Accentuation"/>
          <w:rFonts w:asciiTheme="minorHAnsi" w:hAnsiTheme="minorHAnsi"/>
          <w:szCs w:val="22"/>
        </w:rPr>
      </w:pPr>
      <w:r w:rsidRPr="00CF7F0F">
        <w:rPr>
          <w:rStyle w:val="Accentuation"/>
          <w:rFonts w:asciiTheme="minorHAnsi" w:hAnsiTheme="minorHAnsi"/>
          <w:szCs w:val="22"/>
        </w:rPr>
        <w:t xml:space="preserve">Article 3.2.5 – Appui à la confection d’outils de communication et de médiation </w:t>
      </w:r>
    </w:p>
    <w:p w:rsidR="009019BA" w:rsidRPr="00CF7F0F" w:rsidRDefault="00D92A3A">
      <w:pPr>
        <w:pStyle w:val="Body1"/>
        <w:spacing w:before="120"/>
        <w:jc w:val="both"/>
        <w:rPr>
          <w:rFonts w:asciiTheme="minorHAnsi" w:hAnsiTheme="minorHAnsi"/>
          <w:bCs/>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xml:space="preserve"> et TRACES proposent une déclinaison du concept général d’un </w:t>
      </w:r>
      <w:r w:rsidR="009019BA" w:rsidRPr="00CF7F0F">
        <w:rPr>
          <w:rFonts w:asciiTheme="minorHAnsi" w:hAnsiTheme="minorHAnsi"/>
          <w:bCs/>
          <w:color w:val="auto"/>
          <w:sz w:val="22"/>
          <w:szCs w:val="22"/>
        </w:rPr>
        <w:t xml:space="preserve">appui scientifique aux différents services chargés de la réalisation des outils de médiation et de communication.  </w:t>
      </w:r>
    </w:p>
    <w:p w:rsidR="009019BA" w:rsidRPr="00CF7F0F" w:rsidRDefault="009019BA">
      <w:pPr>
        <w:pStyle w:val="Body1"/>
        <w:spacing w:before="240"/>
        <w:ind w:left="1418" w:hanging="1418"/>
        <w:jc w:val="both"/>
        <w:rPr>
          <w:rStyle w:val="Accentuation"/>
          <w:rFonts w:asciiTheme="minorHAnsi" w:hAnsiTheme="minorHAnsi"/>
          <w:szCs w:val="22"/>
        </w:rPr>
      </w:pPr>
      <w:r w:rsidRPr="00CF7F0F">
        <w:rPr>
          <w:rStyle w:val="Accentuation"/>
          <w:rFonts w:asciiTheme="minorHAnsi" w:hAnsiTheme="minorHAnsi"/>
          <w:szCs w:val="22"/>
        </w:rPr>
        <w:t>Article 3.2.5 – Elaboration de sujets de mémoires universitaires</w:t>
      </w:r>
    </w:p>
    <w:p w:rsidR="009019BA" w:rsidRPr="00CF7F0F" w:rsidRDefault="00D92A3A">
      <w:pPr>
        <w:pStyle w:val="Body1"/>
        <w:spacing w:before="240"/>
        <w:jc w:val="both"/>
        <w:rPr>
          <w:rFonts w:asciiTheme="minorHAnsi" w:hAnsiTheme="minorHAnsi"/>
          <w:color w:val="auto"/>
          <w:sz w:val="22"/>
          <w:szCs w:val="22"/>
        </w:rPr>
      </w:pP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xml:space="preserve"> et TRACES proposent une déclinaison du concept général d'une élaboration de sujets de mémoires universitaires. Ces sujets de mémoire peuvent concerner directement les collections de la Cité de la Préhistoire ou le territoire de rayonnement de </w:t>
      </w: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sidR="009019BA" w:rsidRPr="00CF7F0F">
        <w:rPr>
          <w:rFonts w:asciiTheme="minorHAnsi" w:hAnsiTheme="minorHAnsi"/>
          <w:color w:val="auto"/>
          <w:sz w:val="22"/>
          <w:szCs w:val="22"/>
        </w:rPr>
        <w:t xml:space="preserve"> au sens large. Les sujets seront élaborés en concertation, les mémoires seront menés sous la direction de TRACES. </w:t>
      </w:r>
      <w:r>
        <w:rPr>
          <w:rFonts w:asciiTheme="minorHAnsi" w:hAnsiTheme="minorHAnsi"/>
          <w:iCs/>
          <w:color w:val="auto"/>
          <w:sz w:val="22"/>
          <w:szCs w:val="22"/>
          <w:highlight w:val="yellow"/>
        </w:rPr>
        <w:t>« </w:t>
      </w:r>
      <w:r w:rsidRPr="00D92A3A">
        <w:rPr>
          <w:rFonts w:asciiTheme="minorHAnsi" w:hAnsiTheme="minorHAnsi"/>
          <w:b/>
          <w:iCs/>
          <w:color w:val="auto"/>
          <w:sz w:val="22"/>
          <w:szCs w:val="22"/>
          <w:highlight w:val="yellow"/>
        </w:rPr>
        <w:t>Nom de l’entité</w:t>
      </w:r>
      <w:r>
        <w:rPr>
          <w:rFonts w:asciiTheme="minorHAnsi" w:hAnsiTheme="minorHAnsi"/>
          <w:iCs/>
          <w:color w:val="auto"/>
          <w:sz w:val="22"/>
          <w:szCs w:val="22"/>
          <w:highlight w:val="yellow"/>
        </w:rPr>
        <w:t> »</w:t>
      </w:r>
      <w:r>
        <w:rPr>
          <w:rFonts w:asciiTheme="minorHAnsi" w:hAnsiTheme="minorHAnsi"/>
          <w:iCs/>
          <w:color w:val="auto"/>
          <w:sz w:val="22"/>
          <w:szCs w:val="22"/>
        </w:rPr>
        <w:t xml:space="preserve"> </w:t>
      </w:r>
      <w:r w:rsidR="009019BA" w:rsidRPr="00CF7F0F">
        <w:rPr>
          <w:rFonts w:asciiTheme="minorHAnsi" w:hAnsiTheme="minorHAnsi"/>
          <w:color w:val="auto"/>
          <w:sz w:val="22"/>
          <w:szCs w:val="22"/>
        </w:rPr>
        <w:t>mettra en place un dispositif d'accompagnement de l'étudiant (documentation, collections de comparaison, loupe binoculaire, matériel de bureau, hébergement, disponibilité du personnel).</w:t>
      </w:r>
    </w:p>
    <w:p w:rsidR="009019BA" w:rsidRPr="00CF7F0F" w:rsidRDefault="009019BA">
      <w:pPr>
        <w:pStyle w:val="Body1"/>
        <w:spacing w:before="240"/>
        <w:jc w:val="both"/>
        <w:rPr>
          <w:rFonts w:asciiTheme="minorHAnsi" w:hAnsiTheme="minorHAnsi"/>
          <w:color w:val="auto"/>
          <w:sz w:val="22"/>
          <w:szCs w:val="22"/>
          <w:shd w:val="clear" w:color="auto" w:fill="FFFF00"/>
        </w:rPr>
      </w:pPr>
    </w:p>
    <w:p w:rsidR="009019BA" w:rsidRPr="00CF7F0F" w:rsidRDefault="009019BA">
      <w:pPr>
        <w:pStyle w:val="Body1"/>
        <w:spacing w:before="240"/>
        <w:jc w:val="both"/>
        <w:rPr>
          <w:rFonts w:asciiTheme="minorHAnsi" w:hAnsiTheme="minorHAnsi"/>
          <w:color w:val="auto"/>
          <w:sz w:val="22"/>
          <w:szCs w:val="22"/>
          <w:shd w:val="clear" w:color="auto" w:fill="FFFF00"/>
        </w:rPr>
      </w:pP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 xml:space="preserve">Article 4 – Modalités de mise en œuvre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Les articles 3.2.1, 3.2.2, 3.2.3 et </w:t>
      </w:r>
      <w:r w:rsidR="00553BBE" w:rsidRPr="00CF7F0F">
        <w:rPr>
          <w:rFonts w:asciiTheme="minorHAnsi" w:hAnsiTheme="minorHAnsi"/>
          <w:color w:val="auto"/>
          <w:sz w:val="22"/>
          <w:szCs w:val="22"/>
        </w:rPr>
        <w:t>3.2.4 feront</w:t>
      </w:r>
      <w:r w:rsidRPr="00CF7F0F">
        <w:rPr>
          <w:rFonts w:asciiTheme="minorHAnsi" w:hAnsiTheme="minorHAnsi"/>
          <w:color w:val="auto"/>
          <w:sz w:val="22"/>
          <w:szCs w:val="22"/>
        </w:rPr>
        <w:t xml:space="preserve"> l’objet de conventions d’application spécifiques qui détailleront les contenus scientifiques, les attendus ainsi que modalités budgétaires et financières. </w:t>
      </w: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Article 5 – Propriété intellectuelle</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5.1 - Définitions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b/>
          <w:color w:val="auto"/>
          <w:sz w:val="22"/>
          <w:szCs w:val="22"/>
        </w:rPr>
        <w:t xml:space="preserve">Résultats issus de l’ETUDE </w:t>
      </w:r>
      <w:r w:rsidRPr="00CF7F0F">
        <w:rPr>
          <w:rFonts w:asciiTheme="minorHAnsi" w:hAnsiTheme="minorHAnsi"/>
          <w:b/>
          <w:i/>
          <w:color w:val="auto"/>
          <w:sz w:val="22"/>
          <w:szCs w:val="22"/>
        </w:rPr>
        <w:t>(résultats communs)</w:t>
      </w:r>
      <w:r w:rsidRPr="00CF7F0F">
        <w:rPr>
          <w:rFonts w:asciiTheme="minorHAnsi" w:hAnsiTheme="minorHAnsi"/>
          <w:b/>
          <w:color w:val="auto"/>
          <w:sz w:val="22"/>
          <w:szCs w:val="22"/>
        </w:rPr>
        <w:t> :</w:t>
      </w:r>
      <w:r w:rsidRPr="00CF7F0F">
        <w:rPr>
          <w:rFonts w:asciiTheme="minorHAnsi" w:hAnsiTheme="minorHAnsi"/>
          <w:color w:val="auto"/>
          <w:sz w:val="22"/>
          <w:szCs w:val="22"/>
        </w:rPr>
        <w:t xml:space="preserve"> connaissances issues de l’étude des collections de la Cité de la Préhistoire et susceptibles ou non d’être protégées au titre de la propriété intellectuelle.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b/>
          <w:color w:val="auto"/>
          <w:sz w:val="22"/>
          <w:szCs w:val="22"/>
        </w:rPr>
        <w:t xml:space="preserve">Savoir-faire issus de l’ETUDE </w:t>
      </w:r>
      <w:r w:rsidRPr="00CF7F0F">
        <w:rPr>
          <w:rFonts w:asciiTheme="minorHAnsi" w:hAnsiTheme="minorHAnsi"/>
          <w:b/>
          <w:i/>
          <w:color w:val="auto"/>
          <w:sz w:val="22"/>
          <w:szCs w:val="22"/>
        </w:rPr>
        <w:t xml:space="preserve">(savoir-faire commun) </w:t>
      </w:r>
      <w:r w:rsidRPr="00CF7F0F">
        <w:rPr>
          <w:rFonts w:asciiTheme="minorHAnsi" w:hAnsiTheme="minorHAnsi"/>
          <w:b/>
          <w:color w:val="auto"/>
          <w:sz w:val="22"/>
          <w:szCs w:val="22"/>
        </w:rPr>
        <w:t>:</w:t>
      </w:r>
      <w:r w:rsidRPr="00CF7F0F">
        <w:rPr>
          <w:rFonts w:asciiTheme="minorHAnsi" w:hAnsiTheme="minorHAnsi"/>
          <w:color w:val="auto"/>
          <w:sz w:val="22"/>
          <w:szCs w:val="22"/>
        </w:rPr>
        <w:t xml:space="preserve"> connaissances issues de l’étude des collections la Cité de la Préhistoire non susceptibles, en tant qu’éléments isolés, d’être </w:t>
      </w:r>
      <w:r w:rsidR="00553BBE" w:rsidRPr="00CF7F0F">
        <w:rPr>
          <w:rFonts w:asciiTheme="minorHAnsi" w:hAnsiTheme="minorHAnsi"/>
          <w:color w:val="auto"/>
          <w:sz w:val="22"/>
          <w:szCs w:val="22"/>
        </w:rPr>
        <w:t>protégées au</w:t>
      </w:r>
      <w:r w:rsidRPr="00CF7F0F">
        <w:rPr>
          <w:rFonts w:asciiTheme="minorHAnsi" w:hAnsiTheme="minorHAnsi"/>
          <w:color w:val="auto"/>
          <w:sz w:val="22"/>
          <w:szCs w:val="22"/>
        </w:rPr>
        <w:t xml:space="preserve"> titre de la propriété intellectuelle. </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5.2 - Connaissances non issues de l’Etude</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Les résultats obtenus par les </w:t>
      </w:r>
      <w:r w:rsidRPr="00CF7F0F">
        <w:rPr>
          <w:rFonts w:asciiTheme="minorHAnsi" w:hAnsiTheme="minorHAnsi"/>
          <w:caps/>
          <w:color w:val="auto"/>
          <w:sz w:val="22"/>
          <w:szCs w:val="22"/>
        </w:rPr>
        <w:t>Parties</w:t>
      </w:r>
      <w:r w:rsidRPr="00CF7F0F">
        <w:rPr>
          <w:rFonts w:asciiTheme="minorHAnsi" w:hAnsiTheme="minorHAnsi"/>
          <w:color w:val="auto"/>
          <w:sz w:val="22"/>
          <w:szCs w:val="22"/>
        </w:rPr>
        <w:t xml:space="preserve"> antérieurement à l’ETUDE restent leurs propriétés respectives.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Les résultats, même portant sur l'objet de l'ETUDE mais non issus directement des travaux exécutés dans le cadre du présent contrat, appartiennent à la </w:t>
      </w:r>
      <w:r w:rsidRPr="00CF7F0F">
        <w:rPr>
          <w:rFonts w:asciiTheme="minorHAnsi" w:hAnsiTheme="minorHAnsi"/>
          <w:caps/>
          <w:color w:val="auto"/>
          <w:sz w:val="22"/>
          <w:szCs w:val="22"/>
        </w:rPr>
        <w:t>Partie</w:t>
      </w:r>
      <w:r w:rsidRPr="00CF7F0F">
        <w:rPr>
          <w:rFonts w:asciiTheme="minorHAnsi" w:hAnsiTheme="minorHAnsi"/>
          <w:color w:val="auto"/>
          <w:sz w:val="22"/>
          <w:szCs w:val="22"/>
        </w:rPr>
        <w:t xml:space="preserve"> qui les a obtenus.</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5.3 - Résultats issus de l’Etude</w:t>
      </w:r>
    </w:p>
    <w:p w:rsidR="009019BA" w:rsidRPr="00CF7F0F" w:rsidRDefault="009019BA">
      <w:pPr>
        <w:pStyle w:val="Body1"/>
        <w:spacing w:before="120"/>
        <w:jc w:val="both"/>
        <w:rPr>
          <w:rFonts w:asciiTheme="minorHAnsi" w:hAnsiTheme="minorHAnsi"/>
          <w:b/>
          <w:bCs/>
          <w:color w:val="auto"/>
          <w:sz w:val="22"/>
          <w:szCs w:val="22"/>
        </w:rPr>
      </w:pPr>
      <w:r w:rsidRPr="00CF7F0F">
        <w:rPr>
          <w:rFonts w:asciiTheme="minorHAnsi" w:hAnsiTheme="minorHAnsi"/>
          <w:color w:val="auto"/>
          <w:sz w:val="22"/>
          <w:szCs w:val="22"/>
        </w:rPr>
        <w:t>Les Résultats issus de l’étude des collections la Cité de la Préhistoire appartiennent conjointement aux ETABLISSEMENTS et à la Commune d'Orgnac</w:t>
      </w:r>
      <w:r w:rsidRPr="00CF7F0F">
        <w:rPr>
          <w:rFonts w:asciiTheme="minorHAnsi" w:hAnsiTheme="minorHAnsi"/>
          <w:b/>
          <w:bCs/>
          <w:color w:val="auto"/>
          <w:sz w:val="22"/>
          <w:szCs w:val="22"/>
        </w:rPr>
        <w:t xml:space="preserve">.  </w:t>
      </w:r>
    </w:p>
    <w:p w:rsidR="009019BA" w:rsidRPr="00CF7F0F" w:rsidRDefault="009019BA" w:rsidP="007C7293">
      <w:pPr>
        <w:pStyle w:val="Titre"/>
        <w:ind w:right="-568"/>
        <w:rPr>
          <w:rFonts w:asciiTheme="minorHAnsi" w:hAnsiTheme="minorHAnsi"/>
          <w:sz w:val="22"/>
          <w:szCs w:val="22"/>
        </w:rPr>
      </w:pPr>
      <w:r w:rsidRPr="00CF7F0F">
        <w:rPr>
          <w:rFonts w:asciiTheme="minorHAnsi" w:hAnsiTheme="minorHAnsi"/>
          <w:sz w:val="22"/>
          <w:szCs w:val="22"/>
        </w:rPr>
        <w:t>Article 6 – Exploitation des Résultats issus de l’étude des collections de la Cité de la Préhistoire</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6.1 – Utilisation aux fins de recherche</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Chaque </w:t>
      </w:r>
      <w:r w:rsidRPr="00CF7F0F">
        <w:rPr>
          <w:rFonts w:asciiTheme="minorHAnsi" w:hAnsiTheme="minorHAnsi"/>
          <w:caps/>
          <w:color w:val="auto"/>
          <w:sz w:val="22"/>
          <w:szCs w:val="22"/>
        </w:rPr>
        <w:t>Partie</w:t>
      </w:r>
      <w:r w:rsidRPr="00CF7F0F">
        <w:rPr>
          <w:rFonts w:asciiTheme="minorHAnsi" w:hAnsiTheme="minorHAnsi"/>
          <w:color w:val="auto"/>
          <w:sz w:val="22"/>
          <w:szCs w:val="22"/>
        </w:rPr>
        <w:t xml:space="preserve"> peut utiliser librement et gratuitement les résultats publiés issus de l’étude des collections la Cité de la Préhistoire pour ses besoins propres. </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6.2 – Bases de données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Il est convenu, entre les PARTIES que les bases de données de recherches élaborées par TRACES dans la présente convention seront mises à disposition de </w:t>
      </w:r>
      <w:r w:rsidR="00553BBE">
        <w:rPr>
          <w:rFonts w:asciiTheme="minorHAnsi" w:hAnsiTheme="minorHAnsi"/>
          <w:iCs/>
          <w:color w:val="auto"/>
          <w:sz w:val="22"/>
          <w:szCs w:val="22"/>
          <w:highlight w:val="yellow"/>
        </w:rPr>
        <w:t>« </w:t>
      </w:r>
      <w:r w:rsidR="00553BBE" w:rsidRPr="00D92A3A">
        <w:rPr>
          <w:rFonts w:asciiTheme="minorHAnsi" w:hAnsiTheme="minorHAnsi"/>
          <w:b/>
          <w:iCs/>
          <w:color w:val="auto"/>
          <w:sz w:val="22"/>
          <w:szCs w:val="22"/>
          <w:highlight w:val="yellow"/>
        </w:rPr>
        <w:t>Nom de l’entité</w:t>
      </w:r>
      <w:r w:rsidR="00553BBE">
        <w:rPr>
          <w:rFonts w:asciiTheme="minorHAnsi" w:hAnsiTheme="minorHAnsi"/>
          <w:iCs/>
          <w:color w:val="auto"/>
          <w:sz w:val="22"/>
          <w:szCs w:val="22"/>
          <w:highlight w:val="yellow"/>
        </w:rPr>
        <w:t> »</w:t>
      </w:r>
      <w:r w:rsidRPr="00CF7F0F">
        <w:rPr>
          <w:rFonts w:asciiTheme="minorHAnsi" w:hAnsiTheme="minorHAnsi"/>
          <w:color w:val="auto"/>
          <w:sz w:val="22"/>
          <w:szCs w:val="22"/>
        </w:rPr>
        <w:t>. Toutefois celle-ci ne pourra les utiliser qu’avec l’accord express de TRACES ou après leur publication scientifique.</w:t>
      </w:r>
    </w:p>
    <w:p w:rsidR="009019BA" w:rsidRPr="00CF7F0F" w:rsidRDefault="009019BA" w:rsidP="00AE7C5B">
      <w:pPr>
        <w:pStyle w:val="Sous-titre"/>
        <w:rPr>
          <w:rFonts w:asciiTheme="minorHAnsi" w:hAnsiTheme="minorHAnsi"/>
          <w:sz w:val="22"/>
          <w:szCs w:val="22"/>
        </w:rPr>
      </w:pPr>
      <w:r w:rsidRPr="00CF7F0F">
        <w:rPr>
          <w:rFonts w:asciiTheme="minorHAnsi" w:hAnsiTheme="minorHAnsi"/>
          <w:sz w:val="22"/>
          <w:szCs w:val="22"/>
        </w:rPr>
        <w:t>6.3 – Autres valorisations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Toute autre valorisation envisagée des résultats issus de l’étude des collections </w:t>
      </w:r>
      <w:r w:rsidR="00553BBE">
        <w:rPr>
          <w:rFonts w:asciiTheme="minorHAnsi" w:hAnsiTheme="minorHAnsi"/>
          <w:iCs/>
          <w:color w:val="auto"/>
          <w:sz w:val="22"/>
          <w:szCs w:val="22"/>
          <w:highlight w:val="yellow"/>
        </w:rPr>
        <w:t>« </w:t>
      </w:r>
      <w:r w:rsidR="00553BBE" w:rsidRPr="00D92A3A">
        <w:rPr>
          <w:rFonts w:asciiTheme="minorHAnsi" w:hAnsiTheme="minorHAnsi"/>
          <w:b/>
          <w:iCs/>
          <w:color w:val="auto"/>
          <w:sz w:val="22"/>
          <w:szCs w:val="22"/>
          <w:highlight w:val="yellow"/>
        </w:rPr>
        <w:t>Nom de l’entité</w:t>
      </w:r>
      <w:r w:rsidR="00553BBE">
        <w:rPr>
          <w:rFonts w:asciiTheme="minorHAnsi" w:hAnsiTheme="minorHAnsi"/>
          <w:iCs/>
          <w:color w:val="auto"/>
          <w:sz w:val="22"/>
          <w:szCs w:val="22"/>
          <w:highlight w:val="yellow"/>
        </w:rPr>
        <w:t> »</w:t>
      </w:r>
      <w:r w:rsidRPr="00CF7F0F">
        <w:rPr>
          <w:rFonts w:asciiTheme="minorHAnsi" w:hAnsiTheme="minorHAnsi"/>
          <w:color w:val="auto"/>
          <w:sz w:val="22"/>
          <w:szCs w:val="22"/>
        </w:rPr>
        <w:t>fera l’objet de discussions entre les PARTIES.</w:t>
      </w:r>
    </w:p>
    <w:p w:rsidR="009019BA" w:rsidRPr="00CF7F0F" w:rsidRDefault="009019BA" w:rsidP="007C7293">
      <w:pPr>
        <w:pStyle w:val="Titre"/>
        <w:rPr>
          <w:rFonts w:asciiTheme="minorHAnsi" w:hAnsiTheme="minorHAnsi"/>
          <w:sz w:val="22"/>
          <w:szCs w:val="22"/>
        </w:rPr>
      </w:pPr>
      <w:r w:rsidRPr="00CF7F0F">
        <w:rPr>
          <w:rFonts w:asciiTheme="minorHAnsi" w:hAnsiTheme="minorHAnsi"/>
          <w:sz w:val="22"/>
          <w:szCs w:val="22"/>
        </w:rPr>
        <w:t>Article 7 - Durée et résiliation</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La présente convention est conclue pour une durée de </w:t>
      </w:r>
      <w:r w:rsidR="003B7F76" w:rsidRPr="00CF7F0F">
        <w:rPr>
          <w:rFonts w:asciiTheme="minorHAnsi" w:hAnsiTheme="minorHAnsi"/>
          <w:color w:val="auto"/>
          <w:sz w:val="22"/>
          <w:szCs w:val="22"/>
        </w:rPr>
        <w:t>48</w:t>
      </w:r>
      <w:r w:rsidRPr="00CF7F0F">
        <w:rPr>
          <w:rFonts w:asciiTheme="minorHAnsi" w:hAnsiTheme="minorHAnsi"/>
          <w:color w:val="auto"/>
          <w:sz w:val="22"/>
          <w:szCs w:val="22"/>
        </w:rPr>
        <w:t xml:space="preserve"> mois à compter de la date de sa signature.  Des avenants et des conventions d’applications pourront être mis en œuvre pendant la durée de la convention.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La présente convention pourra être résiliée d’un commun accord entre les PARTIES à l’issue d’un préavis de 6 mois.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lastRenderedPageBreak/>
        <w:t>Nonobstant l'échéance du contrat ou sa résiliation anticipée :</w:t>
      </w:r>
    </w:p>
    <w:p w:rsidR="009019BA" w:rsidRPr="00CF7F0F" w:rsidRDefault="009019BA" w:rsidP="007C7293">
      <w:pPr>
        <w:pStyle w:val="Body1"/>
        <w:numPr>
          <w:ilvl w:val="0"/>
          <w:numId w:val="7"/>
        </w:numPr>
        <w:tabs>
          <w:tab w:val="clear" w:pos="348"/>
          <w:tab w:val="left" w:pos="567"/>
        </w:tabs>
        <w:ind w:left="567" w:hanging="425"/>
        <w:jc w:val="both"/>
        <w:rPr>
          <w:rFonts w:asciiTheme="minorHAnsi" w:hAnsiTheme="minorHAnsi"/>
          <w:color w:val="auto"/>
          <w:sz w:val="22"/>
          <w:szCs w:val="22"/>
        </w:rPr>
      </w:pPr>
      <w:r w:rsidRPr="00CF7F0F">
        <w:rPr>
          <w:rFonts w:asciiTheme="minorHAnsi" w:hAnsiTheme="minorHAnsi"/>
          <w:color w:val="auto"/>
          <w:sz w:val="22"/>
          <w:szCs w:val="22"/>
        </w:rPr>
        <w:t>les dispositions prévues à l'article « Confidentialité et Publications » restent en vigueur pour les durées fixées audit article</w:t>
      </w:r>
    </w:p>
    <w:p w:rsidR="009019BA" w:rsidRPr="00CF7F0F" w:rsidRDefault="009019BA" w:rsidP="007C7293">
      <w:pPr>
        <w:pStyle w:val="Body1"/>
        <w:numPr>
          <w:ilvl w:val="0"/>
          <w:numId w:val="7"/>
        </w:numPr>
        <w:tabs>
          <w:tab w:val="clear" w:pos="348"/>
          <w:tab w:val="left" w:pos="567"/>
        </w:tabs>
        <w:ind w:left="567" w:hanging="425"/>
        <w:jc w:val="both"/>
        <w:rPr>
          <w:rFonts w:asciiTheme="minorHAnsi" w:hAnsiTheme="minorHAnsi"/>
          <w:color w:val="auto"/>
          <w:sz w:val="22"/>
          <w:szCs w:val="22"/>
        </w:rPr>
      </w:pPr>
      <w:r w:rsidRPr="00CF7F0F">
        <w:rPr>
          <w:rFonts w:asciiTheme="minorHAnsi" w:hAnsiTheme="minorHAnsi"/>
          <w:color w:val="auto"/>
          <w:sz w:val="22"/>
          <w:szCs w:val="22"/>
        </w:rPr>
        <w:t>sauf clause contraire, les dispositions prévues aux articles 6 et 7 restent en vigueur</w:t>
      </w:r>
    </w:p>
    <w:p w:rsidR="009019BA" w:rsidRPr="00CF7F0F" w:rsidRDefault="009019BA">
      <w:pPr>
        <w:pStyle w:val="Titre1"/>
        <w:rPr>
          <w:rFonts w:asciiTheme="minorHAnsi" w:hAnsiTheme="minorHAnsi"/>
          <w:sz w:val="22"/>
          <w:szCs w:val="22"/>
        </w:rPr>
      </w:pPr>
      <w:r w:rsidRPr="00CF7F0F">
        <w:rPr>
          <w:rFonts w:asciiTheme="minorHAnsi" w:hAnsiTheme="minorHAnsi"/>
          <w:sz w:val="22"/>
          <w:szCs w:val="22"/>
        </w:rPr>
        <w:t>Article 8 – Intégralité et limite du contrat</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La présente convention exprime l’intégralité des obligations des </w:t>
      </w:r>
      <w:r w:rsidRPr="00CF7F0F">
        <w:rPr>
          <w:rFonts w:asciiTheme="minorHAnsi" w:hAnsiTheme="minorHAnsi"/>
          <w:caps/>
          <w:color w:val="auto"/>
          <w:sz w:val="22"/>
          <w:szCs w:val="22"/>
        </w:rPr>
        <w:t>Parties</w:t>
      </w:r>
      <w:r w:rsidRPr="00CF7F0F">
        <w:rPr>
          <w:rFonts w:asciiTheme="minorHAnsi" w:hAnsiTheme="minorHAnsi"/>
          <w:color w:val="auto"/>
          <w:sz w:val="22"/>
          <w:szCs w:val="22"/>
        </w:rPr>
        <w:t xml:space="preserve">. Aucune clause figurant dans des documents envoyés ou remis par les </w:t>
      </w:r>
      <w:r w:rsidRPr="00CF7F0F">
        <w:rPr>
          <w:rFonts w:asciiTheme="minorHAnsi" w:hAnsiTheme="minorHAnsi"/>
          <w:caps/>
          <w:color w:val="auto"/>
          <w:sz w:val="22"/>
          <w:szCs w:val="22"/>
        </w:rPr>
        <w:t>Parties</w:t>
      </w:r>
      <w:r w:rsidRPr="00CF7F0F">
        <w:rPr>
          <w:rFonts w:asciiTheme="minorHAnsi" w:hAnsiTheme="minorHAnsi"/>
          <w:color w:val="auto"/>
          <w:sz w:val="22"/>
          <w:szCs w:val="22"/>
        </w:rPr>
        <w:t xml:space="preserve"> ne peut s’y intégrer.</w:t>
      </w:r>
    </w:p>
    <w:p w:rsidR="009019BA" w:rsidRPr="00CF7F0F" w:rsidRDefault="009019BA">
      <w:pPr>
        <w:pStyle w:val="Titre1"/>
        <w:rPr>
          <w:rFonts w:asciiTheme="minorHAnsi" w:hAnsiTheme="minorHAnsi"/>
          <w:sz w:val="22"/>
          <w:szCs w:val="22"/>
        </w:rPr>
      </w:pPr>
      <w:r w:rsidRPr="00CF7F0F">
        <w:rPr>
          <w:rFonts w:asciiTheme="minorHAnsi" w:hAnsiTheme="minorHAnsi"/>
          <w:sz w:val="22"/>
          <w:szCs w:val="22"/>
        </w:rPr>
        <w:t>Article 9 – Invalidité d’une clause</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Si une ou plusieurs stipulations de la présente convention étaient tenues pour non valides ou déclarées telles en application d’un traité, d’une loi ou d’un règlement, ou encore à la suite d’une décision définitive d’une juridiction compétente, les autres stipulations garderont toute leur force et leur portée. Les </w:t>
      </w:r>
      <w:r w:rsidRPr="00CF7F0F">
        <w:rPr>
          <w:rFonts w:asciiTheme="minorHAnsi" w:hAnsiTheme="minorHAnsi"/>
          <w:caps/>
          <w:color w:val="auto"/>
          <w:sz w:val="22"/>
          <w:szCs w:val="22"/>
        </w:rPr>
        <w:t>Parties</w:t>
      </w:r>
      <w:r w:rsidRPr="00CF7F0F">
        <w:rPr>
          <w:rFonts w:asciiTheme="minorHAnsi" w:hAnsiTheme="minorHAnsi"/>
          <w:color w:val="auto"/>
          <w:sz w:val="22"/>
          <w:szCs w:val="22"/>
        </w:rPr>
        <w:t xml:space="preserve"> procéderont alors sans délai aux modifications nécessaires en respectant, dans toute la mesure du possible, l’accord de volonté existant au moment de la signature de la présente convention</w:t>
      </w:r>
    </w:p>
    <w:p w:rsidR="009019BA" w:rsidRPr="00CF7F0F" w:rsidRDefault="009019BA">
      <w:pPr>
        <w:pStyle w:val="Titre1"/>
        <w:rPr>
          <w:rFonts w:asciiTheme="minorHAnsi" w:hAnsiTheme="minorHAnsi"/>
          <w:sz w:val="22"/>
          <w:szCs w:val="22"/>
        </w:rPr>
      </w:pPr>
      <w:r w:rsidRPr="00CF7F0F">
        <w:rPr>
          <w:rFonts w:asciiTheme="minorHAnsi" w:hAnsiTheme="minorHAnsi"/>
          <w:sz w:val="22"/>
          <w:szCs w:val="22"/>
        </w:rPr>
        <w:t xml:space="preserve">Article 10 – Litiges </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Le présent contrat est soumis aux lois et règlements français.</w:t>
      </w:r>
    </w:p>
    <w:p w:rsidR="009019BA" w:rsidRPr="00CF7F0F" w:rsidRDefault="009019BA">
      <w:pPr>
        <w:pStyle w:val="Body1"/>
        <w:spacing w:before="120"/>
        <w:jc w:val="both"/>
        <w:rPr>
          <w:rFonts w:asciiTheme="minorHAnsi" w:hAnsiTheme="minorHAnsi"/>
          <w:color w:val="auto"/>
          <w:sz w:val="22"/>
          <w:szCs w:val="22"/>
        </w:rPr>
      </w:pPr>
      <w:r w:rsidRPr="00CF7F0F">
        <w:rPr>
          <w:rFonts w:asciiTheme="minorHAnsi" w:hAnsiTheme="minorHAnsi"/>
          <w:color w:val="auto"/>
          <w:sz w:val="22"/>
          <w:szCs w:val="22"/>
        </w:rPr>
        <w:t xml:space="preserve">En cas de difficulté sur l'interprétation ou l'exécution du présent contrat, les </w:t>
      </w:r>
      <w:r w:rsidRPr="00CF7F0F">
        <w:rPr>
          <w:rFonts w:asciiTheme="minorHAnsi" w:hAnsiTheme="minorHAnsi"/>
          <w:caps/>
          <w:color w:val="auto"/>
          <w:sz w:val="22"/>
          <w:szCs w:val="22"/>
        </w:rPr>
        <w:t>parties</w:t>
      </w:r>
      <w:r w:rsidRPr="00CF7F0F">
        <w:rPr>
          <w:rFonts w:asciiTheme="minorHAnsi" w:hAnsiTheme="minorHAnsi"/>
          <w:color w:val="auto"/>
          <w:sz w:val="22"/>
          <w:szCs w:val="22"/>
        </w:rPr>
        <w:t xml:space="preserve"> s'efforceront de résoudre leur différend à l'amiable.</w:t>
      </w:r>
    </w:p>
    <w:p w:rsidR="009019BA" w:rsidRPr="00CF7F0F" w:rsidRDefault="009019BA">
      <w:pPr>
        <w:rPr>
          <w:rFonts w:asciiTheme="minorHAnsi" w:hAnsiTheme="minorHAnsi"/>
          <w:sz w:val="22"/>
          <w:szCs w:val="22"/>
        </w:rPr>
      </w:pPr>
      <w:r w:rsidRPr="00CF7F0F">
        <w:rPr>
          <w:rFonts w:asciiTheme="minorHAnsi" w:hAnsiTheme="minorHAnsi"/>
          <w:sz w:val="22"/>
          <w:szCs w:val="22"/>
        </w:rPr>
        <w:t>En cas de désaccord persistant, les tribunaux compétents seront saisis.</w:t>
      </w:r>
    </w:p>
    <w:p w:rsidR="009019BA" w:rsidRPr="00CF7F0F" w:rsidRDefault="009019BA">
      <w:pPr>
        <w:pageBreakBefore/>
        <w:rPr>
          <w:rFonts w:asciiTheme="minorHAnsi" w:hAnsiTheme="minorHAnsi"/>
          <w:sz w:val="22"/>
          <w:szCs w:val="22"/>
        </w:rPr>
      </w:pPr>
      <w:r w:rsidRPr="00CF7F0F">
        <w:rPr>
          <w:rFonts w:asciiTheme="minorHAnsi" w:hAnsiTheme="minorHAnsi"/>
          <w:sz w:val="22"/>
          <w:szCs w:val="22"/>
        </w:rPr>
        <w:lastRenderedPageBreak/>
        <w:t>Fait à Toulouse en trois exemplaires originaux, le ………………………………………..</w:t>
      </w:r>
    </w:p>
    <w:p w:rsidR="009019BA" w:rsidRPr="00CF7F0F" w:rsidRDefault="009019BA">
      <w:pPr>
        <w:rPr>
          <w:rFonts w:asciiTheme="minorHAnsi" w:hAnsiTheme="minorHAnsi"/>
          <w:sz w:val="22"/>
          <w:szCs w:val="22"/>
        </w:rPr>
      </w:pPr>
    </w:p>
    <w:p w:rsidR="009019BA" w:rsidRPr="00CF7F0F" w:rsidRDefault="009019BA">
      <w:pPr>
        <w:rPr>
          <w:rFonts w:asciiTheme="minorHAnsi" w:hAnsiTheme="minorHAnsi"/>
          <w:sz w:val="22"/>
          <w:szCs w:val="22"/>
        </w:rPr>
      </w:pPr>
    </w:p>
    <w:p w:rsidR="00CC16FC" w:rsidRPr="00CF7F0F" w:rsidRDefault="00CC16FC" w:rsidP="00CC16FC">
      <w:pPr>
        <w:pStyle w:val="Titre"/>
        <w:rPr>
          <w:rFonts w:asciiTheme="minorHAnsi" w:hAnsiTheme="minorHAnsi"/>
          <w:sz w:val="22"/>
          <w:szCs w:val="22"/>
        </w:rPr>
      </w:pPr>
      <w:r w:rsidRPr="00CF7F0F">
        <w:rPr>
          <w:rFonts w:asciiTheme="minorHAnsi" w:hAnsiTheme="minorHAnsi"/>
          <w:sz w:val="22"/>
          <w:szCs w:val="22"/>
        </w:rPr>
        <w:t>Signature des PARTIES</w:t>
      </w:r>
    </w:p>
    <w:p w:rsidR="00CC16FC" w:rsidRPr="00CF7F0F" w:rsidRDefault="00CC16FC" w:rsidP="00CC16FC">
      <w:pPr>
        <w:rPr>
          <w:rFonts w:asciiTheme="minorHAnsi" w:hAnsiTheme="minorHAnsi"/>
          <w:sz w:val="22"/>
          <w:szCs w:val="22"/>
        </w:rPr>
      </w:pPr>
    </w:p>
    <w:tbl>
      <w:tblPr>
        <w:tblW w:w="7684" w:type="dxa"/>
        <w:tblInd w:w="113" w:type="dxa"/>
        <w:tblLayout w:type="fixed"/>
        <w:tblLook w:val="0000" w:firstRow="0" w:lastRow="0" w:firstColumn="0" w:lastColumn="0" w:noHBand="0" w:noVBand="0"/>
      </w:tblPr>
      <w:tblGrid>
        <w:gridCol w:w="3998"/>
        <w:gridCol w:w="3686"/>
      </w:tblGrid>
      <w:tr w:rsidR="00CC16FC" w:rsidRPr="00CF7F0F" w:rsidTr="00CC16FC">
        <w:trPr>
          <w:cantSplit/>
          <w:trHeight w:val="350"/>
        </w:trPr>
        <w:tc>
          <w:tcPr>
            <w:tcW w:w="3998" w:type="dxa"/>
            <w:shd w:val="clear" w:color="auto" w:fill="FFFFFF"/>
          </w:tcPr>
          <w:p w:rsidR="00CC16FC" w:rsidRPr="00CF7F0F" w:rsidRDefault="00CC16FC" w:rsidP="00DB7269">
            <w:pPr>
              <w:snapToGrid w:val="0"/>
              <w:rPr>
                <w:rFonts w:asciiTheme="minorHAnsi" w:hAnsiTheme="minorHAnsi"/>
                <w:sz w:val="22"/>
                <w:szCs w:val="22"/>
                <w:highlight w:val="yellow"/>
              </w:rPr>
            </w:pPr>
            <w:r w:rsidRPr="00CF7F0F">
              <w:rPr>
                <w:rFonts w:asciiTheme="minorHAnsi" w:hAnsiTheme="minorHAnsi"/>
                <w:b/>
                <w:sz w:val="22"/>
                <w:szCs w:val="22"/>
                <w:highlight w:val="yellow"/>
              </w:rPr>
              <w:t>« nom de la collectivité territoriale »</w:t>
            </w: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sz w:val="22"/>
                <w:szCs w:val="22"/>
                <w:highlight w:val="yellow"/>
              </w:rPr>
            </w:pPr>
          </w:p>
          <w:p w:rsidR="00CC16FC" w:rsidRPr="00CF7F0F" w:rsidRDefault="00CC16FC" w:rsidP="00DB7269">
            <w:pPr>
              <w:rPr>
                <w:rFonts w:asciiTheme="minorHAnsi" w:hAnsiTheme="minorHAnsi"/>
                <w:b/>
                <w:sz w:val="22"/>
                <w:szCs w:val="22"/>
                <w:highlight w:val="yellow"/>
              </w:rPr>
            </w:pPr>
            <w:r w:rsidRPr="00CF7F0F">
              <w:rPr>
                <w:rFonts w:asciiTheme="minorHAnsi" w:hAnsiTheme="minorHAnsi"/>
                <w:b/>
                <w:sz w:val="22"/>
                <w:szCs w:val="22"/>
                <w:highlight w:val="yellow"/>
              </w:rPr>
              <w:t>M. René UGHETTO</w:t>
            </w:r>
          </w:p>
          <w:p w:rsidR="00CC16FC" w:rsidRPr="00CF7F0F" w:rsidRDefault="00CC16FC" w:rsidP="00DB7269">
            <w:pPr>
              <w:rPr>
                <w:rFonts w:asciiTheme="minorHAnsi" w:hAnsiTheme="minorHAnsi"/>
                <w:sz w:val="22"/>
                <w:szCs w:val="22"/>
              </w:rPr>
            </w:pPr>
            <w:r w:rsidRPr="00CF7F0F">
              <w:rPr>
                <w:rFonts w:asciiTheme="minorHAnsi" w:hAnsiTheme="minorHAnsi"/>
                <w:sz w:val="22"/>
                <w:szCs w:val="22"/>
                <w:highlight w:val="yellow"/>
              </w:rPr>
              <w:t>Le maire</w:t>
            </w:r>
          </w:p>
        </w:tc>
        <w:tc>
          <w:tcPr>
            <w:tcW w:w="3686" w:type="dxa"/>
            <w:shd w:val="clear" w:color="auto" w:fill="FFFFFF"/>
          </w:tcPr>
          <w:p w:rsidR="00CC16FC" w:rsidRPr="00CF7F0F" w:rsidRDefault="00CC16FC" w:rsidP="00DB7269">
            <w:pPr>
              <w:snapToGrid w:val="0"/>
              <w:rPr>
                <w:rFonts w:asciiTheme="minorHAnsi" w:hAnsiTheme="minorHAnsi"/>
                <w:sz w:val="22"/>
                <w:szCs w:val="22"/>
              </w:rPr>
            </w:pPr>
            <w:r>
              <w:rPr>
                <w:rFonts w:asciiTheme="minorHAnsi" w:hAnsiTheme="minorHAnsi"/>
                <w:sz w:val="22"/>
                <w:szCs w:val="22"/>
              </w:rPr>
              <w:t xml:space="preserve">Pour le </w:t>
            </w:r>
            <w:r w:rsidRPr="00CF7F0F">
              <w:rPr>
                <w:rFonts w:asciiTheme="minorHAnsi" w:hAnsiTheme="minorHAnsi"/>
                <w:sz w:val="22"/>
                <w:szCs w:val="22"/>
              </w:rPr>
              <w:t xml:space="preserve">CNRS </w:t>
            </w: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sz w:val="22"/>
                <w:szCs w:val="22"/>
              </w:rPr>
            </w:pPr>
          </w:p>
          <w:p w:rsidR="00CC16FC" w:rsidRPr="00CF7F0F" w:rsidRDefault="00CC16FC" w:rsidP="00DB7269">
            <w:pPr>
              <w:rPr>
                <w:rFonts w:asciiTheme="minorHAnsi" w:hAnsiTheme="minorHAnsi"/>
                <w:b/>
                <w:sz w:val="22"/>
                <w:szCs w:val="22"/>
              </w:rPr>
            </w:pPr>
            <w:r w:rsidRPr="00CF7F0F">
              <w:rPr>
                <w:rFonts w:asciiTheme="minorHAnsi" w:hAnsiTheme="minorHAnsi"/>
                <w:b/>
                <w:sz w:val="22"/>
                <w:szCs w:val="22"/>
              </w:rPr>
              <w:t>M. Christophe GIRAUD</w:t>
            </w:r>
          </w:p>
          <w:p w:rsidR="00CC16FC" w:rsidRPr="00CF7F0F" w:rsidRDefault="00CC16FC" w:rsidP="00DB7269">
            <w:pPr>
              <w:rPr>
                <w:rFonts w:asciiTheme="minorHAnsi" w:hAnsiTheme="minorHAnsi"/>
                <w:sz w:val="22"/>
                <w:szCs w:val="22"/>
              </w:rPr>
            </w:pPr>
            <w:r w:rsidRPr="00CF7F0F">
              <w:rPr>
                <w:rFonts w:asciiTheme="minorHAnsi" w:hAnsiTheme="minorHAnsi"/>
                <w:sz w:val="22"/>
                <w:szCs w:val="22"/>
              </w:rPr>
              <w:t>Délégué Régional</w:t>
            </w:r>
            <w:r>
              <w:rPr>
                <w:rFonts w:asciiTheme="minorHAnsi" w:hAnsiTheme="minorHAnsi"/>
                <w:sz w:val="22"/>
                <w:szCs w:val="22"/>
              </w:rPr>
              <w:t xml:space="preserve"> pour la circonscription Midi-Pyrénées</w:t>
            </w:r>
          </w:p>
        </w:tc>
      </w:tr>
    </w:tbl>
    <w:p w:rsidR="00CC16FC" w:rsidRPr="00CF7F0F" w:rsidRDefault="00CC16FC" w:rsidP="00CC16FC">
      <w:pPr>
        <w:rPr>
          <w:rFonts w:asciiTheme="minorHAnsi" w:hAnsiTheme="minorHAnsi"/>
          <w:sz w:val="22"/>
          <w:szCs w:val="22"/>
        </w:rPr>
      </w:pPr>
    </w:p>
    <w:p w:rsidR="009019BA" w:rsidRDefault="009019BA">
      <w:pPr>
        <w:rPr>
          <w:rFonts w:asciiTheme="minorHAnsi" w:hAnsiTheme="minorHAnsi"/>
          <w:sz w:val="22"/>
          <w:szCs w:val="22"/>
        </w:rPr>
      </w:pPr>
    </w:p>
    <w:p w:rsidR="00CC16FC" w:rsidRDefault="00CC16FC">
      <w:pPr>
        <w:rPr>
          <w:rFonts w:asciiTheme="minorHAnsi" w:hAnsiTheme="minorHAnsi"/>
          <w:sz w:val="22"/>
          <w:szCs w:val="22"/>
        </w:rPr>
      </w:pPr>
    </w:p>
    <w:p w:rsidR="00CC16FC" w:rsidRDefault="00CC16FC">
      <w:pPr>
        <w:rPr>
          <w:rFonts w:asciiTheme="minorHAnsi" w:hAnsiTheme="minorHAnsi"/>
          <w:sz w:val="22"/>
          <w:szCs w:val="22"/>
        </w:rPr>
      </w:pPr>
    </w:p>
    <w:p w:rsidR="00CC16FC" w:rsidRDefault="00CC16FC">
      <w:pPr>
        <w:rPr>
          <w:rFonts w:asciiTheme="minorHAnsi" w:hAnsiTheme="minorHAnsi"/>
          <w:sz w:val="22"/>
          <w:szCs w:val="22"/>
        </w:rPr>
      </w:pPr>
    </w:p>
    <w:p w:rsidR="00CC16FC" w:rsidRDefault="00CC16FC">
      <w:pPr>
        <w:rPr>
          <w:rFonts w:asciiTheme="minorHAnsi" w:hAnsiTheme="minorHAnsi"/>
          <w:sz w:val="22"/>
          <w:szCs w:val="22"/>
        </w:rPr>
      </w:pPr>
    </w:p>
    <w:p w:rsidR="00CC16FC" w:rsidRDefault="00CC16FC">
      <w:pPr>
        <w:rPr>
          <w:rFonts w:asciiTheme="minorHAnsi" w:hAnsiTheme="minorHAnsi"/>
          <w:sz w:val="22"/>
          <w:szCs w:val="22"/>
        </w:rPr>
      </w:pPr>
    </w:p>
    <w:p w:rsidR="00CC16FC" w:rsidRDefault="00CC16FC">
      <w:pPr>
        <w:rPr>
          <w:rFonts w:asciiTheme="minorHAnsi" w:hAnsiTheme="minorHAnsi"/>
          <w:sz w:val="22"/>
          <w:szCs w:val="22"/>
        </w:rPr>
      </w:pPr>
    </w:p>
    <w:p w:rsidR="00CC16FC" w:rsidRPr="00CF7F0F" w:rsidRDefault="00CC16FC">
      <w:pPr>
        <w:rPr>
          <w:rFonts w:asciiTheme="minorHAnsi" w:hAnsiTheme="minorHAnsi"/>
          <w:sz w:val="22"/>
          <w:szCs w:val="22"/>
        </w:rPr>
      </w:pPr>
    </w:p>
    <w:p w:rsidR="009019BA" w:rsidRPr="00CF7F0F" w:rsidRDefault="009019BA">
      <w:pPr>
        <w:pStyle w:val="Titre"/>
        <w:rPr>
          <w:rFonts w:asciiTheme="minorHAnsi" w:hAnsiTheme="minorHAnsi"/>
          <w:sz w:val="22"/>
          <w:szCs w:val="22"/>
        </w:rPr>
      </w:pPr>
      <w:r w:rsidRPr="00CF7F0F">
        <w:rPr>
          <w:rFonts w:asciiTheme="minorHAnsi" w:hAnsiTheme="minorHAnsi"/>
          <w:sz w:val="22"/>
          <w:szCs w:val="22"/>
        </w:rPr>
        <w:t>Visa</w:t>
      </w:r>
    </w:p>
    <w:p w:rsidR="007C7293" w:rsidRPr="00CF7F0F" w:rsidRDefault="007C7293" w:rsidP="007C7293">
      <w:pPr>
        <w:rPr>
          <w:rFonts w:asciiTheme="minorHAnsi" w:hAnsiTheme="minorHAnsi"/>
          <w:sz w:val="22"/>
          <w:szCs w:val="22"/>
        </w:rPr>
      </w:pPr>
    </w:p>
    <w:tbl>
      <w:tblPr>
        <w:tblW w:w="0" w:type="auto"/>
        <w:tblInd w:w="113" w:type="dxa"/>
        <w:tblLayout w:type="fixed"/>
        <w:tblLook w:val="0000" w:firstRow="0" w:lastRow="0" w:firstColumn="0" w:lastColumn="0" w:noHBand="0" w:noVBand="0"/>
      </w:tblPr>
      <w:tblGrid>
        <w:gridCol w:w="3998"/>
        <w:gridCol w:w="3827"/>
      </w:tblGrid>
      <w:tr w:rsidR="009019BA" w:rsidRPr="00CF7F0F" w:rsidTr="00CC16FC">
        <w:trPr>
          <w:cantSplit/>
          <w:trHeight w:val="350"/>
        </w:trPr>
        <w:tc>
          <w:tcPr>
            <w:tcW w:w="3998" w:type="dxa"/>
            <w:shd w:val="clear" w:color="auto" w:fill="FFFFFF"/>
          </w:tcPr>
          <w:p w:rsidR="009019BA" w:rsidRPr="00CC16FC" w:rsidRDefault="00CC16FC">
            <w:pPr>
              <w:snapToGrid w:val="0"/>
              <w:ind w:left="142"/>
              <w:rPr>
                <w:rFonts w:asciiTheme="minorHAnsi" w:hAnsiTheme="minorHAnsi"/>
                <w:b/>
                <w:sz w:val="22"/>
                <w:szCs w:val="22"/>
              </w:rPr>
            </w:pPr>
            <w:r w:rsidRPr="00CC16FC">
              <w:rPr>
                <w:rFonts w:asciiTheme="minorHAnsi" w:hAnsiTheme="minorHAnsi"/>
                <w:b/>
                <w:sz w:val="22"/>
                <w:szCs w:val="22"/>
              </w:rPr>
              <w:t>Pour TRACES</w:t>
            </w:r>
          </w:p>
          <w:p w:rsidR="009019BA" w:rsidRPr="00CF7F0F" w:rsidRDefault="009019BA">
            <w:pPr>
              <w:tabs>
                <w:tab w:val="left" w:pos="426"/>
              </w:tabs>
              <w:ind w:left="142"/>
              <w:rPr>
                <w:rFonts w:asciiTheme="minorHAnsi" w:hAnsiTheme="minorHAnsi"/>
                <w:sz w:val="22"/>
                <w:szCs w:val="22"/>
              </w:rPr>
            </w:pPr>
          </w:p>
          <w:p w:rsidR="009019BA" w:rsidRPr="00CF7F0F" w:rsidRDefault="009019BA">
            <w:pPr>
              <w:tabs>
                <w:tab w:val="left" w:pos="426"/>
              </w:tabs>
              <w:ind w:left="142"/>
              <w:rPr>
                <w:rFonts w:asciiTheme="minorHAnsi" w:hAnsiTheme="minorHAnsi"/>
                <w:sz w:val="22"/>
                <w:szCs w:val="22"/>
              </w:rPr>
            </w:pPr>
          </w:p>
          <w:p w:rsidR="009019BA" w:rsidRPr="00CF7F0F" w:rsidRDefault="009019BA">
            <w:pPr>
              <w:tabs>
                <w:tab w:val="left" w:pos="426"/>
              </w:tabs>
              <w:ind w:left="142"/>
              <w:rPr>
                <w:rFonts w:asciiTheme="minorHAnsi" w:hAnsiTheme="minorHAnsi"/>
                <w:sz w:val="22"/>
                <w:szCs w:val="22"/>
              </w:rPr>
            </w:pPr>
          </w:p>
          <w:p w:rsidR="009019BA" w:rsidRPr="00CF7F0F" w:rsidRDefault="009019BA">
            <w:pPr>
              <w:tabs>
                <w:tab w:val="left" w:pos="426"/>
              </w:tabs>
              <w:ind w:left="142"/>
              <w:rPr>
                <w:rFonts w:asciiTheme="minorHAnsi" w:hAnsiTheme="minorHAnsi"/>
                <w:sz w:val="22"/>
                <w:szCs w:val="22"/>
              </w:rPr>
            </w:pPr>
          </w:p>
          <w:p w:rsidR="009019BA" w:rsidRPr="00CF7F0F" w:rsidRDefault="009019BA">
            <w:pPr>
              <w:tabs>
                <w:tab w:val="left" w:pos="426"/>
              </w:tabs>
              <w:ind w:left="142"/>
              <w:rPr>
                <w:rFonts w:asciiTheme="minorHAnsi" w:hAnsiTheme="minorHAnsi"/>
                <w:sz w:val="22"/>
                <w:szCs w:val="22"/>
              </w:rPr>
            </w:pPr>
          </w:p>
          <w:p w:rsidR="009019BA" w:rsidRPr="00CF7F0F" w:rsidRDefault="00CC16FC">
            <w:pPr>
              <w:tabs>
                <w:tab w:val="left" w:pos="426"/>
              </w:tabs>
              <w:ind w:left="142"/>
              <w:rPr>
                <w:rFonts w:asciiTheme="minorHAnsi" w:hAnsiTheme="minorHAnsi"/>
                <w:b/>
                <w:sz w:val="22"/>
                <w:szCs w:val="22"/>
              </w:rPr>
            </w:pPr>
            <w:r>
              <w:rPr>
                <w:rFonts w:asciiTheme="minorHAnsi" w:hAnsiTheme="minorHAnsi"/>
                <w:b/>
                <w:sz w:val="22"/>
                <w:szCs w:val="22"/>
              </w:rPr>
              <w:t>Nicolas VALDEYRON</w:t>
            </w:r>
          </w:p>
          <w:p w:rsidR="00CC16FC" w:rsidRPr="00CF7F0F" w:rsidRDefault="00CC16FC" w:rsidP="00CC16FC">
            <w:pPr>
              <w:tabs>
                <w:tab w:val="left" w:pos="426"/>
              </w:tabs>
              <w:ind w:left="142"/>
              <w:rPr>
                <w:rFonts w:asciiTheme="minorHAnsi" w:hAnsiTheme="minorHAnsi"/>
                <w:sz w:val="22"/>
                <w:szCs w:val="22"/>
              </w:rPr>
            </w:pPr>
            <w:r>
              <w:rPr>
                <w:rFonts w:asciiTheme="minorHAnsi" w:hAnsiTheme="minorHAnsi"/>
                <w:sz w:val="22"/>
                <w:szCs w:val="22"/>
              </w:rPr>
              <w:t>Directeur</w:t>
            </w:r>
          </w:p>
          <w:p w:rsidR="009019BA" w:rsidRPr="00CF7F0F" w:rsidRDefault="009019BA">
            <w:pPr>
              <w:tabs>
                <w:tab w:val="left" w:pos="426"/>
              </w:tabs>
              <w:ind w:left="142"/>
              <w:rPr>
                <w:rFonts w:asciiTheme="minorHAnsi" w:hAnsiTheme="minorHAnsi"/>
                <w:sz w:val="22"/>
                <w:szCs w:val="22"/>
              </w:rPr>
            </w:pPr>
          </w:p>
        </w:tc>
        <w:tc>
          <w:tcPr>
            <w:tcW w:w="3827" w:type="dxa"/>
            <w:shd w:val="clear" w:color="auto" w:fill="FFFFFF"/>
          </w:tcPr>
          <w:p w:rsidR="009019BA" w:rsidRPr="00CF7F0F" w:rsidRDefault="00CC16FC">
            <w:pPr>
              <w:snapToGrid w:val="0"/>
              <w:ind w:left="142"/>
              <w:rPr>
                <w:rFonts w:asciiTheme="minorHAnsi" w:hAnsiTheme="minorHAnsi"/>
                <w:sz w:val="22"/>
                <w:szCs w:val="22"/>
                <w:highlight w:val="yellow"/>
              </w:rPr>
            </w:pPr>
            <w:r>
              <w:rPr>
                <w:rFonts w:asciiTheme="minorHAnsi" w:hAnsiTheme="minorHAnsi"/>
                <w:iCs/>
                <w:sz w:val="22"/>
                <w:szCs w:val="22"/>
                <w:highlight w:val="yellow"/>
              </w:rPr>
              <w:t>« </w:t>
            </w:r>
            <w:r w:rsidRPr="00D92A3A">
              <w:rPr>
                <w:rFonts w:asciiTheme="minorHAnsi" w:hAnsiTheme="minorHAnsi"/>
                <w:b/>
                <w:iCs/>
                <w:sz w:val="22"/>
                <w:szCs w:val="22"/>
                <w:highlight w:val="yellow"/>
              </w:rPr>
              <w:t>Nom de l’entité</w:t>
            </w:r>
            <w:r>
              <w:rPr>
                <w:rFonts w:asciiTheme="minorHAnsi" w:hAnsiTheme="minorHAnsi"/>
                <w:iCs/>
                <w:sz w:val="22"/>
                <w:szCs w:val="22"/>
                <w:highlight w:val="yellow"/>
              </w:rPr>
              <w:t> »</w:t>
            </w:r>
          </w:p>
          <w:p w:rsidR="004B04A5" w:rsidRPr="00CF7F0F" w:rsidRDefault="004B04A5">
            <w:pPr>
              <w:snapToGrid w:val="0"/>
              <w:ind w:left="142"/>
              <w:rPr>
                <w:rFonts w:asciiTheme="minorHAnsi" w:hAnsiTheme="minorHAnsi"/>
                <w:sz w:val="22"/>
                <w:szCs w:val="22"/>
                <w:highlight w:val="yellow"/>
              </w:rPr>
            </w:pPr>
          </w:p>
          <w:p w:rsidR="004B04A5" w:rsidRPr="00CF7F0F" w:rsidRDefault="004B04A5">
            <w:pPr>
              <w:snapToGrid w:val="0"/>
              <w:ind w:left="142"/>
              <w:rPr>
                <w:rFonts w:asciiTheme="minorHAnsi" w:hAnsiTheme="minorHAnsi"/>
                <w:sz w:val="22"/>
                <w:szCs w:val="22"/>
                <w:highlight w:val="yellow"/>
              </w:rPr>
            </w:pPr>
          </w:p>
          <w:p w:rsidR="004B04A5" w:rsidRPr="00CF7F0F" w:rsidRDefault="004B04A5">
            <w:pPr>
              <w:snapToGrid w:val="0"/>
              <w:ind w:left="142"/>
              <w:rPr>
                <w:rFonts w:asciiTheme="minorHAnsi" w:hAnsiTheme="minorHAnsi"/>
                <w:sz w:val="22"/>
                <w:szCs w:val="22"/>
                <w:highlight w:val="yellow"/>
              </w:rPr>
            </w:pPr>
          </w:p>
          <w:p w:rsidR="004B04A5" w:rsidRPr="00CF7F0F" w:rsidRDefault="004B04A5">
            <w:pPr>
              <w:snapToGrid w:val="0"/>
              <w:ind w:left="142"/>
              <w:rPr>
                <w:rFonts w:asciiTheme="minorHAnsi" w:hAnsiTheme="minorHAnsi"/>
                <w:sz w:val="22"/>
                <w:szCs w:val="22"/>
                <w:highlight w:val="yellow"/>
              </w:rPr>
            </w:pPr>
          </w:p>
          <w:p w:rsidR="004B04A5" w:rsidRPr="00CF7F0F" w:rsidRDefault="004B04A5">
            <w:pPr>
              <w:snapToGrid w:val="0"/>
              <w:ind w:left="142"/>
              <w:rPr>
                <w:rFonts w:asciiTheme="minorHAnsi" w:hAnsiTheme="minorHAnsi"/>
                <w:sz w:val="22"/>
                <w:szCs w:val="22"/>
                <w:highlight w:val="yellow"/>
              </w:rPr>
            </w:pPr>
          </w:p>
          <w:p w:rsidR="004B04A5" w:rsidRPr="00CF7F0F" w:rsidRDefault="00CC16FC">
            <w:pPr>
              <w:snapToGrid w:val="0"/>
              <w:ind w:left="142"/>
              <w:rPr>
                <w:rFonts w:asciiTheme="minorHAnsi" w:hAnsiTheme="minorHAnsi"/>
                <w:b/>
                <w:sz w:val="22"/>
                <w:szCs w:val="22"/>
                <w:highlight w:val="yellow"/>
              </w:rPr>
            </w:pPr>
            <w:r>
              <w:rPr>
                <w:rFonts w:asciiTheme="minorHAnsi" w:hAnsiTheme="minorHAnsi"/>
                <w:b/>
                <w:sz w:val="22"/>
                <w:szCs w:val="22"/>
                <w:highlight w:val="yellow"/>
              </w:rPr>
              <w:t>Prénom NOM</w:t>
            </w:r>
          </w:p>
          <w:p w:rsidR="004B04A5" w:rsidRPr="00CF7F0F" w:rsidRDefault="00CC16FC" w:rsidP="00CC16FC">
            <w:pPr>
              <w:snapToGrid w:val="0"/>
              <w:ind w:left="142"/>
              <w:rPr>
                <w:rFonts w:asciiTheme="minorHAnsi" w:hAnsiTheme="minorHAnsi"/>
                <w:sz w:val="22"/>
                <w:szCs w:val="22"/>
              </w:rPr>
            </w:pPr>
            <w:r>
              <w:rPr>
                <w:rFonts w:asciiTheme="minorHAnsi" w:hAnsiTheme="minorHAnsi"/>
                <w:sz w:val="22"/>
                <w:szCs w:val="22"/>
                <w:highlight w:val="yellow"/>
              </w:rPr>
              <w:t xml:space="preserve">Fonction </w:t>
            </w:r>
            <w:r w:rsidR="004B04A5" w:rsidRPr="00CF7F0F">
              <w:rPr>
                <w:rFonts w:asciiTheme="minorHAnsi" w:hAnsiTheme="minorHAnsi"/>
                <w:sz w:val="22"/>
                <w:szCs w:val="22"/>
                <w:highlight w:val="yellow"/>
              </w:rPr>
              <w:t xml:space="preserve"> </w:t>
            </w:r>
          </w:p>
        </w:tc>
      </w:tr>
    </w:tbl>
    <w:p w:rsidR="009019BA" w:rsidRPr="00CF7F0F" w:rsidRDefault="009019BA">
      <w:pPr>
        <w:rPr>
          <w:rFonts w:asciiTheme="minorHAnsi" w:hAnsiTheme="minorHAnsi"/>
          <w:sz w:val="22"/>
          <w:szCs w:val="22"/>
        </w:rPr>
      </w:pPr>
    </w:p>
    <w:p w:rsidR="009019BA" w:rsidRPr="00CF7F0F" w:rsidRDefault="009019BA">
      <w:pPr>
        <w:rPr>
          <w:rFonts w:asciiTheme="minorHAnsi" w:hAnsiTheme="minorHAnsi"/>
          <w:sz w:val="22"/>
          <w:szCs w:val="22"/>
        </w:rPr>
      </w:pPr>
    </w:p>
    <w:p w:rsidR="009019BA" w:rsidRPr="00CF7F0F" w:rsidRDefault="009019BA">
      <w:pPr>
        <w:rPr>
          <w:rFonts w:asciiTheme="minorHAnsi" w:hAnsiTheme="minorHAnsi"/>
          <w:sz w:val="22"/>
          <w:szCs w:val="22"/>
        </w:rPr>
      </w:pPr>
    </w:p>
    <w:p w:rsidR="009019BA" w:rsidRPr="00CF7F0F" w:rsidRDefault="009019BA">
      <w:pPr>
        <w:rPr>
          <w:rFonts w:asciiTheme="minorHAnsi" w:hAnsiTheme="minorHAnsi"/>
          <w:sz w:val="22"/>
          <w:szCs w:val="22"/>
        </w:rPr>
      </w:pPr>
    </w:p>
    <w:p w:rsidR="009019BA" w:rsidRPr="00CF7F0F" w:rsidRDefault="00CC16FC" w:rsidP="00CC16FC">
      <w:pPr>
        <w:pStyle w:val="Body1"/>
        <w:pageBreakBefore/>
        <w:spacing w:before="120"/>
        <w:rPr>
          <w:rFonts w:asciiTheme="minorHAnsi" w:hAnsiTheme="minorHAnsi"/>
          <w:b/>
          <w:sz w:val="22"/>
          <w:szCs w:val="22"/>
          <w:highlight w:val="yellow"/>
        </w:rPr>
      </w:pPr>
      <w:r>
        <w:rPr>
          <w:rFonts w:asciiTheme="minorHAnsi" w:hAnsiTheme="minorHAnsi"/>
          <w:b/>
          <w:sz w:val="22"/>
          <w:szCs w:val="22"/>
          <w:highlight w:val="yellow"/>
        </w:rPr>
        <w:lastRenderedPageBreak/>
        <w:t>ANNEXE : exemple</w:t>
      </w:r>
    </w:p>
    <w:p w:rsidR="009019BA" w:rsidRDefault="009019BA">
      <w:pPr>
        <w:pStyle w:val="Body1"/>
        <w:spacing w:before="120"/>
        <w:jc w:val="both"/>
        <w:rPr>
          <w:rFonts w:asciiTheme="minorHAnsi" w:hAnsiTheme="minorHAnsi"/>
          <w:color w:val="auto"/>
          <w:sz w:val="22"/>
          <w:szCs w:val="22"/>
          <w:highlight w:val="yellow"/>
        </w:rPr>
      </w:pPr>
      <w:r w:rsidRPr="00CF7F0F">
        <w:rPr>
          <w:rFonts w:asciiTheme="minorHAnsi" w:hAnsiTheme="minorHAnsi"/>
          <w:color w:val="auto"/>
          <w:sz w:val="22"/>
          <w:szCs w:val="22"/>
          <w:highlight w:val="yellow"/>
        </w:rPr>
        <w:t xml:space="preserve">Projet scientifique et </w:t>
      </w:r>
      <w:r w:rsidR="00CC16FC" w:rsidRPr="00CF7F0F">
        <w:rPr>
          <w:rFonts w:asciiTheme="minorHAnsi" w:hAnsiTheme="minorHAnsi"/>
          <w:color w:val="auto"/>
          <w:sz w:val="22"/>
          <w:szCs w:val="22"/>
          <w:highlight w:val="yellow"/>
        </w:rPr>
        <w:t>culturel de</w:t>
      </w:r>
      <w:r w:rsidRPr="00CF7F0F">
        <w:rPr>
          <w:rFonts w:asciiTheme="minorHAnsi" w:hAnsiTheme="minorHAnsi"/>
          <w:color w:val="auto"/>
          <w:sz w:val="22"/>
          <w:szCs w:val="22"/>
          <w:highlight w:val="yellow"/>
        </w:rPr>
        <w:t xml:space="preserve"> la Cité de la Préhistoire.</w:t>
      </w:r>
    </w:p>
    <w:p w:rsidR="00CC16FC" w:rsidRPr="00CF7F0F" w:rsidRDefault="00CC16FC">
      <w:pPr>
        <w:pStyle w:val="Body1"/>
        <w:spacing w:before="120"/>
        <w:jc w:val="both"/>
        <w:rPr>
          <w:rFonts w:asciiTheme="minorHAnsi" w:hAnsiTheme="minorHAnsi"/>
          <w:color w:val="auto"/>
          <w:sz w:val="22"/>
          <w:szCs w:val="22"/>
          <w:highlight w:val="yellow"/>
        </w:rPr>
      </w:pPr>
    </w:p>
    <w:p w:rsidR="009019BA" w:rsidRPr="00CF7F0F" w:rsidRDefault="009019BA">
      <w:pPr>
        <w:pStyle w:val="Paragraphedeliste"/>
        <w:numPr>
          <w:ilvl w:val="0"/>
          <w:numId w:val="5"/>
        </w:numPr>
        <w:rPr>
          <w:rFonts w:asciiTheme="minorHAnsi" w:hAnsiTheme="minorHAnsi"/>
          <w:sz w:val="22"/>
          <w:highlight w:val="yellow"/>
        </w:rPr>
      </w:pPr>
      <w:r w:rsidRPr="00CF7F0F">
        <w:rPr>
          <w:rFonts w:asciiTheme="minorHAnsi" w:hAnsiTheme="minorHAnsi"/>
          <w:b/>
          <w:sz w:val="22"/>
          <w:highlight w:val="yellow"/>
        </w:rPr>
        <w:t>Un musée de France grand public</w:t>
      </w:r>
      <w:r w:rsidRPr="00CF7F0F">
        <w:rPr>
          <w:rFonts w:asciiTheme="minorHAnsi" w:hAnsiTheme="minorHAnsi"/>
          <w:sz w:val="22"/>
          <w:highlight w:val="yellow"/>
        </w:rPr>
        <w:t xml:space="preserve"> </w:t>
      </w:r>
    </w:p>
    <w:p w:rsidR="009019BA" w:rsidRPr="00CF7F0F" w:rsidRDefault="009019BA">
      <w:pPr>
        <w:jc w:val="both"/>
        <w:rPr>
          <w:rFonts w:asciiTheme="minorHAnsi" w:hAnsiTheme="minorHAnsi"/>
          <w:sz w:val="22"/>
          <w:szCs w:val="22"/>
          <w:highlight w:val="yellow"/>
        </w:rPr>
      </w:pPr>
      <w:r w:rsidRPr="00CF7F0F">
        <w:rPr>
          <w:rFonts w:asciiTheme="minorHAnsi" w:hAnsiTheme="minorHAnsi"/>
          <w:sz w:val="22"/>
          <w:szCs w:val="22"/>
          <w:highlight w:val="yellow"/>
        </w:rPr>
        <w:t xml:space="preserve">Le Musée de Préhistoire d’Orgnac accueillait plus de 100 000 visiteurs par an. La plupart viennent pour visiter l’Aven d’Orgnac et découvrent le volet préhistorique du Site. L’objectif de la Cité de la Préhistoire (CP) est de satisfaire le public de l’aven et de remplir une mission de médiation destinée au grand public. Par ailleurs, en tant que Musée de France et pôle de recherche en Préhistoire, elle doit développer une attractivité propre et répondre aux attentes d’un public à sensibilité culturelle et scientifique, plus familiarisé à la fréquentation des musées. Le programme muséographique prévoit pour cela la mise en place de trois niveaux de lecture. </w:t>
      </w:r>
    </w:p>
    <w:p w:rsidR="009019BA" w:rsidRPr="00CF7F0F" w:rsidRDefault="009019BA">
      <w:pPr>
        <w:rPr>
          <w:rFonts w:asciiTheme="minorHAnsi" w:hAnsiTheme="minorHAnsi"/>
          <w:sz w:val="22"/>
          <w:szCs w:val="22"/>
          <w:highlight w:val="yellow"/>
        </w:rPr>
      </w:pPr>
    </w:p>
    <w:p w:rsidR="009019BA" w:rsidRPr="00CF7F0F" w:rsidRDefault="009019BA">
      <w:pPr>
        <w:pStyle w:val="Paragraphedeliste"/>
        <w:numPr>
          <w:ilvl w:val="0"/>
          <w:numId w:val="5"/>
        </w:numPr>
        <w:rPr>
          <w:rFonts w:asciiTheme="minorHAnsi" w:hAnsiTheme="minorHAnsi"/>
          <w:b/>
          <w:sz w:val="22"/>
          <w:highlight w:val="yellow"/>
        </w:rPr>
      </w:pPr>
      <w:r w:rsidRPr="00CF7F0F">
        <w:rPr>
          <w:rFonts w:asciiTheme="minorHAnsi" w:hAnsiTheme="minorHAnsi"/>
          <w:b/>
          <w:sz w:val="22"/>
          <w:highlight w:val="yellow"/>
        </w:rPr>
        <w:t>Un musée sur les techniques savoir-faire de la Préhistoire au plus près des hommes et des sociétés du passé</w:t>
      </w:r>
    </w:p>
    <w:p w:rsidR="009019BA" w:rsidRPr="00CF7F0F" w:rsidRDefault="009019BA">
      <w:pPr>
        <w:jc w:val="both"/>
        <w:rPr>
          <w:rFonts w:asciiTheme="minorHAnsi" w:hAnsiTheme="minorHAnsi" w:cs="Calibri"/>
          <w:sz w:val="22"/>
          <w:szCs w:val="22"/>
          <w:highlight w:val="yellow"/>
        </w:rPr>
      </w:pPr>
      <w:r w:rsidRPr="00CF7F0F">
        <w:rPr>
          <w:rFonts w:asciiTheme="minorHAnsi" w:hAnsiTheme="minorHAnsi" w:cs="Calibri"/>
          <w:sz w:val="22"/>
          <w:szCs w:val="22"/>
          <w:highlight w:val="yellow"/>
        </w:rPr>
        <w:t>Le processus de présentation et le contenu du discours de l’exposition permanente font en sorte que le visiteur connaisse mieux les sociétés de la Préhistoire. Pour se faire, plutôt que de détailler d’emblée des stratigraphies de sites locaux, la CP cherche à expliquer les modes de vie, reconstituer les gestes, aborder l’univers symbolique des groupes humains. Les objets sont le plus possible présentés de manière dynamique pour évoquer un mouvement, un contexte d’utilisation. L’accent sera mis notamment sur l’aspect expérimental des recherches archéologiques afin de restituer au public les gestes des hommes préhistoriques.</w:t>
      </w:r>
    </w:p>
    <w:p w:rsidR="009019BA" w:rsidRPr="00CF7F0F" w:rsidRDefault="009019BA">
      <w:pPr>
        <w:rPr>
          <w:rFonts w:asciiTheme="minorHAnsi" w:hAnsiTheme="minorHAnsi"/>
          <w:sz w:val="22"/>
          <w:szCs w:val="22"/>
          <w:highlight w:val="yellow"/>
        </w:rPr>
      </w:pPr>
    </w:p>
    <w:p w:rsidR="009019BA" w:rsidRPr="00CF7F0F" w:rsidRDefault="009019BA" w:rsidP="007C7293">
      <w:pPr>
        <w:numPr>
          <w:ilvl w:val="0"/>
          <w:numId w:val="3"/>
        </w:numPr>
        <w:tabs>
          <w:tab w:val="clear" w:pos="0"/>
          <w:tab w:val="left" w:pos="709"/>
        </w:tabs>
        <w:suppressAutoHyphens w:val="0"/>
        <w:rPr>
          <w:rFonts w:asciiTheme="minorHAnsi" w:hAnsiTheme="minorHAnsi"/>
          <w:b/>
          <w:sz w:val="22"/>
          <w:szCs w:val="22"/>
          <w:highlight w:val="yellow"/>
        </w:rPr>
      </w:pPr>
      <w:r w:rsidRPr="00CF7F0F">
        <w:rPr>
          <w:rFonts w:asciiTheme="minorHAnsi" w:hAnsiTheme="minorHAnsi"/>
          <w:b/>
          <w:sz w:val="22"/>
          <w:szCs w:val="22"/>
          <w:highlight w:val="yellow"/>
        </w:rPr>
        <w:t>Un musée de Préhistoire sur un Grand Site de France®</w:t>
      </w:r>
    </w:p>
    <w:p w:rsidR="009019BA" w:rsidRPr="00CF7F0F" w:rsidRDefault="009019BA">
      <w:pPr>
        <w:jc w:val="both"/>
        <w:rPr>
          <w:rFonts w:asciiTheme="minorHAnsi" w:hAnsiTheme="minorHAnsi"/>
          <w:sz w:val="22"/>
          <w:szCs w:val="22"/>
          <w:highlight w:val="yellow"/>
        </w:rPr>
      </w:pPr>
      <w:r w:rsidRPr="00CF7F0F">
        <w:rPr>
          <w:rFonts w:asciiTheme="minorHAnsi" w:hAnsiTheme="minorHAnsi"/>
          <w:sz w:val="22"/>
          <w:szCs w:val="22"/>
          <w:highlight w:val="yellow"/>
        </w:rPr>
        <w:t xml:space="preserve">Appartenant au Site classé, la CP est aujourd’hui une composante du Grand Site de France. La visite du site englobe la grotte et la CP. La thématique choisie comme fil directeur de cette visite est le voyage dans le temps. Le visiteur sera porté entre les temps géologiques, préhistoriques et historiques à travers notamment la thématique de l’interaction entre homme et environnement, thématique toujours d’actualité dans les considérations de développement durable mises en pratique dans les Grands Sites de France®. La scénographie insistera sur les repères chronologiques rythmant le parcours de visite. </w:t>
      </w:r>
    </w:p>
    <w:p w:rsidR="009019BA" w:rsidRPr="00CF7F0F" w:rsidRDefault="009019BA">
      <w:pPr>
        <w:rPr>
          <w:rFonts w:asciiTheme="minorHAnsi" w:hAnsiTheme="minorHAnsi"/>
          <w:sz w:val="22"/>
          <w:szCs w:val="22"/>
          <w:highlight w:val="yellow"/>
        </w:rPr>
      </w:pPr>
    </w:p>
    <w:p w:rsidR="009019BA" w:rsidRPr="00CF7F0F" w:rsidRDefault="009019BA" w:rsidP="007C7293">
      <w:pPr>
        <w:numPr>
          <w:ilvl w:val="0"/>
          <w:numId w:val="3"/>
        </w:numPr>
        <w:tabs>
          <w:tab w:val="left" w:pos="709"/>
        </w:tabs>
        <w:suppressAutoHyphens w:val="0"/>
        <w:rPr>
          <w:rFonts w:asciiTheme="minorHAnsi" w:hAnsiTheme="minorHAnsi"/>
          <w:b/>
          <w:sz w:val="22"/>
          <w:szCs w:val="22"/>
          <w:highlight w:val="yellow"/>
        </w:rPr>
      </w:pPr>
      <w:r w:rsidRPr="00CF7F0F">
        <w:rPr>
          <w:rFonts w:asciiTheme="minorHAnsi" w:hAnsiTheme="minorHAnsi"/>
          <w:b/>
          <w:sz w:val="22"/>
          <w:szCs w:val="22"/>
          <w:highlight w:val="yellow"/>
        </w:rPr>
        <w:t>Une passerelle de partenariat avec les autres régions</w:t>
      </w:r>
    </w:p>
    <w:p w:rsidR="009019BA" w:rsidRPr="00CF7F0F" w:rsidRDefault="009019BA">
      <w:pPr>
        <w:jc w:val="both"/>
        <w:rPr>
          <w:rFonts w:asciiTheme="minorHAnsi" w:hAnsiTheme="minorHAnsi"/>
          <w:sz w:val="22"/>
          <w:szCs w:val="22"/>
          <w:highlight w:val="yellow"/>
        </w:rPr>
      </w:pPr>
      <w:r w:rsidRPr="00CF7F0F">
        <w:rPr>
          <w:rFonts w:asciiTheme="minorHAnsi" w:hAnsiTheme="minorHAnsi"/>
          <w:sz w:val="22"/>
          <w:szCs w:val="22"/>
          <w:highlight w:val="yellow"/>
        </w:rPr>
        <w:t>La CP souhaite assumer la spécificité de sa localisation géographique  à l’extrême sud de la Région Rhône-Alpes afin de la mettre en avant et que cela devienne un atout, une force. Pour cela l’ouverture vers le Gard et donc la région Languedoc-Roussillon est développée. Une bonne part des collections du musée correspondant à des sites du Gard, le patrimoine de ce département est valorisé au sein de l’exposition permanente de la CP. Des travaux scientifiques sont également menés dans le Gard. Les partenariats avec La DRAC Languedoc-Roussillon sont en cours d’officialisation.</w:t>
      </w:r>
    </w:p>
    <w:p w:rsidR="009019BA" w:rsidRPr="00CF7F0F" w:rsidRDefault="009019BA">
      <w:pPr>
        <w:rPr>
          <w:rFonts w:asciiTheme="minorHAnsi" w:hAnsiTheme="minorHAnsi"/>
          <w:sz w:val="22"/>
          <w:szCs w:val="22"/>
          <w:highlight w:val="yellow"/>
        </w:rPr>
      </w:pPr>
    </w:p>
    <w:p w:rsidR="009019BA" w:rsidRPr="00CF7F0F" w:rsidRDefault="009019BA" w:rsidP="007C7293">
      <w:pPr>
        <w:pStyle w:val="Paragraphedeliste"/>
        <w:numPr>
          <w:ilvl w:val="0"/>
          <w:numId w:val="3"/>
        </w:numPr>
        <w:tabs>
          <w:tab w:val="left" w:pos="709"/>
        </w:tabs>
        <w:suppressAutoHyphens/>
        <w:rPr>
          <w:rFonts w:asciiTheme="minorHAnsi" w:hAnsiTheme="minorHAnsi" w:cs="Calibri"/>
          <w:b/>
          <w:sz w:val="22"/>
          <w:highlight w:val="yellow"/>
        </w:rPr>
      </w:pPr>
      <w:r w:rsidRPr="00CF7F0F">
        <w:rPr>
          <w:rFonts w:asciiTheme="minorHAnsi" w:hAnsiTheme="minorHAnsi" w:cs="Calibri"/>
          <w:b/>
          <w:sz w:val="22"/>
          <w:highlight w:val="yellow"/>
        </w:rPr>
        <w:t xml:space="preserve">Un pôle de recherche </w:t>
      </w:r>
      <w:r w:rsidR="007C7293" w:rsidRPr="00CF7F0F">
        <w:rPr>
          <w:rFonts w:asciiTheme="minorHAnsi" w:hAnsiTheme="minorHAnsi" w:cs="Calibri"/>
          <w:b/>
          <w:sz w:val="22"/>
          <w:highlight w:val="yellow"/>
        </w:rPr>
        <w:t>interrégional</w:t>
      </w:r>
      <w:r w:rsidRPr="00CF7F0F">
        <w:rPr>
          <w:rFonts w:asciiTheme="minorHAnsi" w:hAnsiTheme="minorHAnsi" w:cs="Calibri"/>
          <w:b/>
          <w:sz w:val="22"/>
          <w:highlight w:val="yellow"/>
        </w:rPr>
        <w:t xml:space="preserve"> voire international</w:t>
      </w:r>
    </w:p>
    <w:p w:rsidR="009019BA" w:rsidRPr="00CC16FC" w:rsidRDefault="009019BA" w:rsidP="00CC16FC">
      <w:pPr>
        <w:pStyle w:val="Paragraphestandard"/>
        <w:spacing w:line="240" w:lineRule="auto"/>
        <w:jc w:val="both"/>
        <w:rPr>
          <w:rFonts w:asciiTheme="minorHAnsi" w:hAnsiTheme="minorHAnsi"/>
          <w:sz w:val="22"/>
          <w:szCs w:val="22"/>
          <w:highlight w:val="yellow"/>
        </w:rPr>
      </w:pPr>
      <w:r w:rsidRPr="00CF7F0F">
        <w:rPr>
          <w:rFonts w:asciiTheme="minorHAnsi" w:hAnsiTheme="minorHAnsi"/>
          <w:sz w:val="22"/>
          <w:szCs w:val="22"/>
          <w:highlight w:val="yellow"/>
        </w:rPr>
        <w:t>L’action du musée de Préhistoire d’Orgnac dans la recherche est particulièrement bien développée depuis 20 ans et sera développé avec la CP. La CP avant tout un centre d’accueil de chercheurs mettant à disposition, outre les collections, tous les outils nécessaires à leur étude dans de bonnes conditions. A travers l’activité de son personnel scientifique, elle est également membre actif, voire instigatrice et coordonnatrice, de programmes de recherche. Son personnel contribue, en collaboration avec les universités, à l’élaboration de sujets de mémoires universitaires portant sur les collections d’Ardèche et à l’encadrement des étudiants. L’ensemble de son réseau, comptant parmi ses membres l’équipe scientifique de la grotte Chauvet, conforte son statut d’établissement faisant référence pour la recherche en Préhistoire en Ardèche et dans le Gard.</w:t>
      </w:r>
      <w:r w:rsidR="00CC16FC">
        <w:rPr>
          <w:rFonts w:asciiTheme="minorHAnsi" w:hAnsiTheme="minorHAnsi"/>
          <w:sz w:val="22"/>
          <w:szCs w:val="22"/>
          <w:highlight w:val="yellow"/>
        </w:rPr>
        <w:t xml:space="preserve"> </w:t>
      </w:r>
      <w:r w:rsidRPr="00CF7F0F">
        <w:rPr>
          <w:rFonts w:asciiTheme="minorHAnsi" w:hAnsiTheme="minorHAnsi"/>
          <w:sz w:val="22"/>
          <w:szCs w:val="22"/>
          <w:highlight w:val="yellow"/>
        </w:rPr>
        <w:t xml:space="preserve">Le réseau scientifique du musée est aujourd’hui clairement interrégional dans le grand quart sud-est de la France, ponctuellement national et international. </w:t>
      </w:r>
    </w:p>
    <w:sectPr w:rsidR="009019BA" w:rsidRPr="00CC16FC">
      <w:footerReference w:type="default" r:id="rId7"/>
      <w:footnotePr>
        <w:pos w:val="beneathText"/>
      </w:footnotePr>
      <w:pgSz w:w="11905" w:h="16837"/>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496" w:rsidRDefault="00657496">
      <w:r>
        <w:separator/>
      </w:r>
    </w:p>
  </w:endnote>
  <w:endnote w:type="continuationSeparator" w:id="0">
    <w:p w:rsidR="00657496" w:rsidRDefault="0065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179"/>
      <w:gridCol w:w="8325"/>
    </w:tblGrid>
    <w:tr w:rsidR="009019BA">
      <w:trPr>
        <w:trHeight w:val="244"/>
      </w:trPr>
      <w:tc>
        <w:tcPr>
          <w:tcW w:w="1179" w:type="dxa"/>
          <w:vMerge w:val="restart"/>
          <w:tcBorders>
            <w:top w:val="single" w:sz="8" w:space="0" w:color="808080"/>
          </w:tcBorders>
        </w:tcPr>
        <w:p w:rsidR="009019BA" w:rsidRDefault="009019BA">
          <w:pPr>
            <w:pStyle w:val="Pieddepage"/>
            <w:snapToGrid w:val="0"/>
            <w:jc w:val="right"/>
            <w:rPr>
              <w:rFonts w:ascii="Calibri" w:hAnsi="Calibri"/>
              <w:b/>
              <w:i/>
              <w:sz w:val="20"/>
              <w:szCs w:val="20"/>
            </w:rPr>
          </w:pPr>
          <w:r>
            <w:rPr>
              <w:sz w:val="20"/>
              <w:szCs w:val="20"/>
            </w:rPr>
            <w:fldChar w:fldCharType="begin"/>
          </w:r>
          <w:r>
            <w:rPr>
              <w:sz w:val="20"/>
              <w:szCs w:val="20"/>
            </w:rPr>
            <w:instrText xml:space="preserve"> PAGE </w:instrText>
          </w:r>
          <w:r>
            <w:rPr>
              <w:sz w:val="20"/>
              <w:szCs w:val="20"/>
            </w:rPr>
            <w:fldChar w:fldCharType="separate"/>
          </w:r>
          <w:r w:rsidR="00F06CD1">
            <w:rPr>
              <w:noProof/>
              <w:sz w:val="20"/>
              <w:szCs w:val="20"/>
            </w:rPr>
            <w:t>7</w:t>
          </w:r>
          <w:r>
            <w:rPr>
              <w:sz w:val="20"/>
              <w:szCs w:val="20"/>
            </w:rPr>
            <w:fldChar w:fldCharType="end"/>
          </w:r>
        </w:p>
      </w:tc>
      <w:tc>
        <w:tcPr>
          <w:tcW w:w="8325" w:type="dxa"/>
          <w:vMerge w:val="restart"/>
          <w:tcBorders>
            <w:top w:val="single" w:sz="8" w:space="0" w:color="808080"/>
            <w:left w:val="single" w:sz="8" w:space="0" w:color="808080"/>
          </w:tcBorders>
        </w:tcPr>
        <w:p w:rsidR="009019BA" w:rsidRDefault="009019BA" w:rsidP="00F80EDF">
          <w:pPr>
            <w:pStyle w:val="Pieddepage"/>
            <w:snapToGrid w:val="0"/>
            <w:rPr>
              <w:rFonts w:ascii="Calibri" w:hAnsi="Calibri"/>
              <w:b/>
              <w:i/>
              <w:sz w:val="20"/>
              <w:szCs w:val="20"/>
            </w:rPr>
          </w:pPr>
          <w:r>
            <w:rPr>
              <w:rFonts w:ascii="Calibri" w:hAnsi="Calibri"/>
              <w:b/>
              <w:i/>
              <w:sz w:val="20"/>
              <w:szCs w:val="20"/>
            </w:rPr>
            <w:t xml:space="preserve">Convention de collaboration entre la </w:t>
          </w:r>
          <w:r w:rsidR="00553BBE" w:rsidRPr="00CF7F0F">
            <w:rPr>
              <w:rFonts w:asciiTheme="minorHAnsi" w:hAnsiTheme="minorHAnsi"/>
              <w:b/>
              <w:sz w:val="22"/>
              <w:szCs w:val="22"/>
              <w:highlight w:val="yellow"/>
            </w:rPr>
            <w:t>« nom de la collectivité territoriale »</w:t>
          </w:r>
          <w:r w:rsidR="00553BBE">
            <w:rPr>
              <w:rFonts w:asciiTheme="minorHAnsi" w:hAnsiTheme="minorHAnsi"/>
              <w:b/>
              <w:sz w:val="22"/>
              <w:szCs w:val="22"/>
            </w:rPr>
            <w:t xml:space="preserve"> </w:t>
          </w:r>
          <w:r>
            <w:rPr>
              <w:rFonts w:ascii="Calibri" w:hAnsi="Calibri"/>
              <w:b/>
              <w:i/>
              <w:sz w:val="20"/>
              <w:szCs w:val="20"/>
            </w:rPr>
            <w:t>/ CNRS / UT</w:t>
          </w:r>
          <w:r w:rsidR="00F80EDF">
            <w:rPr>
              <w:rFonts w:ascii="Calibri" w:hAnsi="Calibri"/>
              <w:b/>
              <w:i/>
              <w:sz w:val="20"/>
              <w:szCs w:val="20"/>
            </w:rPr>
            <w:t>2J</w:t>
          </w:r>
        </w:p>
      </w:tc>
    </w:tr>
  </w:tbl>
  <w:p w:rsidR="009019BA" w:rsidRDefault="009019BA">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496" w:rsidRDefault="00657496">
      <w:r>
        <w:separator/>
      </w:r>
    </w:p>
  </w:footnote>
  <w:footnote w:type="continuationSeparator" w:id="0">
    <w:p w:rsidR="00657496" w:rsidRDefault="00657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1BE428E"/>
    <w:lvl w:ilvl="0">
      <w:start w:val="1"/>
      <w:numFmt w:val="none"/>
      <w:pStyle w:val="Titr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48"/>
        </w:tabs>
        <w:ind w:left="348" w:firstLine="360"/>
      </w:pPr>
      <w:rPr>
        <w:rFonts w:ascii="Times New Roman" w:hAnsi="Times New Roman"/>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sz w:val="16"/>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sz w:val="16"/>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Symbol" w:hAnsi="Symbol"/>
      </w:rPr>
    </w:lvl>
  </w:abstractNum>
  <w:abstractNum w:abstractNumId="5" w15:restartNumberingAfterBreak="0">
    <w:nsid w:val="4F4F4498"/>
    <w:multiLevelType w:val="multilevel"/>
    <w:tmpl w:val="6EE25B42"/>
    <w:lvl w:ilvl="0">
      <w:start w:val="1"/>
      <w:numFmt w:val="bullet"/>
      <w:lvlText w:val=""/>
      <w:lvlJc w:val="left"/>
      <w:pPr>
        <w:tabs>
          <w:tab w:val="num" w:pos="348"/>
        </w:tabs>
        <w:ind w:left="348" w:firstLine="360"/>
      </w:pPr>
      <w:rPr>
        <w:rFonts w:ascii="Symbol" w:hAnsi="Symbol" w:hint="default"/>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abstractNum w:abstractNumId="6" w15:restartNumberingAfterBreak="0">
    <w:nsid w:val="7BFD7ED5"/>
    <w:multiLevelType w:val="multilevel"/>
    <w:tmpl w:val="04883E74"/>
    <w:lvl w:ilvl="0">
      <w:start w:val="1"/>
      <w:numFmt w:val="bullet"/>
      <w:lvlText w:val=""/>
      <w:lvlJc w:val="left"/>
      <w:pPr>
        <w:tabs>
          <w:tab w:val="num" w:pos="348"/>
        </w:tabs>
        <w:ind w:left="348" w:firstLine="360"/>
      </w:pPr>
      <w:rPr>
        <w:rFonts w:ascii="Wingdings" w:hAnsi="Wingdings" w:hint="default"/>
        <w:position w:val="0"/>
        <w:sz w:val="24"/>
        <w:vertAlign w:val="baseline"/>
      </w:rPr>
    </w:lvl>
    <w:lvl w:ilvl="1">
      <w:start w:val="1"/>
      <w:numFmt w:val="bullet"/>
      <w:lvlText w:val="o"/>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360"/>
        </w:tabs>
        <w:ind w:left="360" w:firstLine="1800"/>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o"/>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360"/>
        </w:tabs>
        <w:ind w:left="360" w:firstLine="3960"/>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o"/>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360"/>
        </w:tabs>
        <w:ind w:left="360" w:firstLine="6120"/>
      </w:pPr>
      <w:rPr>
        <w:rFonts w:ascii="Times New Roman" w:hAnsi="Times New Roman"/>
        <w:position w:val="0"/>
        <w:sz w:val="24"/>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F51"/>
    <w:rsid w:val="00023076"/>
    <w:rsid w:val="0002735A"/>
    <w:rsid w:val="00032081"/>
    <w:rsid w:val="001250E7"/>
    <w:rsid w:val="00236DEA"/>
    <w:rsid w:val="002D41A0"/>
    <w:rsid w:val="003B7F76"/>
    <w:rsid w:val="004B04A5"/>
    <w:rsid w:val="004F56D1"/>
    <w:rsid w:val="00501F51"/>
    <w:rsid w:val="00553BBE"/>
    <w:rsid w:val="00563C3D"/>
    <w:rsid w:val="005F3548"/>
    <w:rsid w:val="00657496"/>
    <w:rsid w:val="00722465"/>
    <w:rsid w:val="007C7293"/>
    <w:rsid w:val="008955A2"/>
    <w:rsid w:val="008C49E5"/>
    <w:rsid w:val="009019BA"/>
    <w:rsid w:val="009402FA"/>
    <w:rsid w:val="009B6C9D"/>
    <w:rsid w:val="00A02D65"/>
    <w:rsid w:val="00AA140E"/>
    <w:rsid w:val="00AC7C76"/>
    <w:rsid w:val="00AE7C5B"/>
    <w:rsid w:val="00CC16FC"/>
    <w:rsid w:val="00CF7F0F"/>
    <w:rsid w:val="00D509C3"/>
    <w:rsid w:val="00D92A3A"/>
    <w:rsid w:val="00E25F26"/>
    <w:rsid w:val="00E80C5A"/>
    <w:rsid w:val="00EE2939"/>
    <w:rsid w:val="00F06CD1"/>
    <w:rsid w:val="00F80EDF"/>
    <w:rsid w:val="00FA36D4"/>
    <w:rsid w:val="00FC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F251"/>
  <w15:chartTrackingRefBased/>
  <w15:docId w15:val="{FE462D6E-AD6B-47B0-9714-1F2E311A2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fr-FR" w:eastAsia="ar-SA"/>
    </w:rPr>
  </w:style>
  <w:style w:type="paragraph" w:styleId="Titre1">
    <w:name w:val="heading 1"/>
    <w:basedOn w:val="Titre"/>
    <w:next w:val="Normal"/>
    <w:qFormat/>
    <w:pPr>
      <w:numPr>
        <w:numId w:val="1"/>
      </w:numPr>
      <w:spacing w:before="300"/>
      <w:outlineLvl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Symbol" w:hAnsi="Symbol"/>
      <w:sz w:val="16"/>
    </w:rPr>
  </w:style>
  <w:style w:type="character" w:customStyle="1" w:styleId="WW8Num4z0">
    <w:name w:val="WW8Num4z0"/>
    <w:rPr>
      <w:rFonts w:ascii="Symbol" w:hAnsi="Symbol"/>
      <w:sz w:val="16"/>
    </w:rPr>
  </w:style>
  <w:style w:type="character" w:customStyle="1" w:styleId="WW8Num5z0">
    <w:name w:val="WW8Num5z0"/>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Policepardfaut2">
    <w:name w:val="Police par défaut2"/>
  </w:style>
  <w:style w:type="character" w:customStyle="1" w:styleId="WW8Num1z0">
    <w:name w:val="WW8Num1z0"/>
    <w:rPr>
      <w:position w:val="0"/>
      <w:sz w:val="24"/>
      <w:vertAlign w:val="baselin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olicepardfaut1">
    <w:name w:val="Police par défaut1"/>
  </w:style>
  <w:style w:type="character" w:styleId="Accentuation">
    <w:name w:val="Emphasis"/>
    <w:qFormat/>
    <w:rPr>
      <w:rFonts w:ascii="Calibri" w:hAnsi="Calibri"/>
      <w:color w:val="auto"/>
      <w:sz w:val="22"/>
      <w:u w:val="single"/>
    </w:rPr>
  </w:style>
  <w:style w:type="paragraph" w:customStyle="1" w:styleId="Titre2">
    <w:name w:val="Titre2"/>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2">
    <w:name w:val="Légende2"/>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styleId="Titre">
    <w:name w:val="Title"/>
    <w:basedOn w:val="Normal"/>
    <w:next w:val="Normal"/>
    <w:qFormat/>
    <w:pPr>
      <w:spacing w:before="240" w:after="120"/>
    </w:pPr>
    <w:rPr>
      <w:rFonts w:ascii="Calibri" w:eastAsia="Arial Unicode MS" w:hAnsi="Calibri"/>
      <w:b/>
      <w:bCs/>
      <w:color w:val="000000"/>
      <w:kern w:val="1"/>
      <w:szCs w:val="28"/>
    </w:rPr>
  </w:style>
  <w:style w:type="paragraph" w:styleId="Sous-titre">
    <w:name w:val="Subtitle"/>
    <w:basedOn w:val="Titre1"/>
    <w:next w:val="Normal"/>
    <w:qFormat/>
    <w:rsid w:val="00AE7C5B"/>
    <w:pPr>
      <w:tabs>
        <w:tab w:val="clear" w:pos="432"/>
      </w:tabs>
      <w:ind w:left="0" w:firstLine="0"/>
    </w:pPr>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customStyle="1" w:styleId="Lgende1">
    <w:name w:val="Légende1"/>
    <w:basedOn w:val="Normal"/>
    <w:pPr>
      <w:suppressLineNumbers/>
      <w:spacing w:before="120" w:after="120"/>
    </w:pPr>
    <w:rPr>
      <w:rFonts w:cs="Tahoma"/>
      <w:i/>
      <w:iCs/>
    </w:rPr>
  </w:style>
  <w:style w:type="paragraph" w:customStyle="1" w:styleId="Body1">
    <w:name w:val="Body 1"/>
    <w:pPr>
      <w:suppressAutoHyphens/>
    </w:pPr>
    <w:rPr>
      <w:rFonts w:eastAsia="Arial Unicode MS"/>
      <w:color w:val="000000"/>
      <w:sz w:val="24"/>
      <w:lang w:val="fr-FR" w:eastAsia="ar-SA"/>
    </w:rPr>
  </w:style>
  <w:style w:type="paragraph" w:styleId="Pieddepage">
    <w:name w:val="footer"/>
    <w:basedOn w:val="Normal"/>
    <w:semiHidden/>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n-tte">
    <w:name w:val="header"/>
    <w:basedOn w:val="Normal"/>
    <w:semiHidden/>
    <w:pPr>
      <w:suppressLineNumbers/>
      <w:tabs>
        <w:tab w:val="center" w:pos="4818"/>
        <w:tab w:val="right" w:pos="9637"/>
      </w:tabs>
    </w:pPr>
  </w:style>
  <w:style w:type="paragraph" w:customStyle="1" w:styleId="Paragraphestandard">
    <w:name w:val="[Paragraphe standard]"/>
    <w:basedOn w:val="Normal"/>
    <w:pPr>
      <w:autoSpaceDE w:val="0"/>
      <w:spacing w:line="288" w:lineRule="auto"/>
      <w:textAlignment w:val="center"/>
    </w:pPr>
    <w:rPr>
      <w:rFonts w:ascii="Calibri" w:eastAsia="Calibri" w:hAnsi="Calibri" w:cs="Calibri"/>
      <w:color w:val="000000"/>
    </w:rPr>
  </w:style>
  <w:style w:type="paragraph" w:styleId="Paragraphedeliste">
    <w:name w:val="List Paragraph"/>
    <w:basedOn w:val="Normal"/>
    <w:qFormat/>
    <w:pPr>
      <w:suppressAutoHyphens w:val="0"/>
      <w:ind w:left="72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2551</Words>
  <Characters>14542</Characters>
  <Application>Microsoft Office Word</Application>
  <DocSecurity>4</DocSecurity>
  <Lines>121</Lines>
  <Paragraphs>34</Paragraphs>
  <ScaleCrop>false</ScaleCrop>
  <HeadingPairs>
    <vt:vector size="2" baseType="variant">
      <vt:variant>
        <vt:lpstr>Titre</vt:lpstr>
      </vt:variant>
      <vt:variant>
        <vt:i4>1</vt:i4>
      </vt:variant>
    </vt:vector>
  </HeadingPairs>
  <TitlesOfParts>
    <vt:vector size="1" baseType="lpstr">
      <vt:lpstr>Convention de Collaboration Scientifique et Culturelle</vt:lpstr>
    </vt:vector>
  </TitlesOfParts>
  <Company>Hewlett-Packard Company</Company>
  <LinksUpToDate>false</LinksUpToDate>
  <CharactersWithSpaces>17059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Collaboration Scientifique et Culturelle</dc:title>
  <dc:subject/>
  <dc:creator>CARALP Liliane</dc:creator>
  <cp:keywords/>
  <cp:lastModifiedBy>Philippe MIROUX</cp:lastModifiedBy>
  <cp:revision>2</cp:revision>
  <cp:lastPrinted>1899-12-31T23:00:00Z</cp:lastPrinted>
  <dcterms:created xsi:type="dcterms:W3CDTF">2017-04-06T11:09:00Z</dcterms:created>
  <dcterms:modified xsi:type="dcterms:W3CDTF">2017-04-06T11:09:00Z</dcterms:modified>
</cp:coreProperties>
</file>